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D3F4" w14:textId="77777777" w:rsidR="006C42AA" w:rsidRDefault="008D4FC5" w:rsidP="006C42AA">
      <w:pPr>
        <w:jc w:val="center"/>
        <w:rPr>
          <w:b/>
          <w:sz w:val="28"/>
        </w:rPr>
      </w:pPr>
      <w:r>
        <w:rPr>
          <w:b/>
          <w:sz w:val="28"/>
        </w:rPr>
        <w:t>Deriving a global 2013-2050 emission budget to stay below 1.5</w:t>
      </w:r>
      <w:r>
        <w:rPr>
          <w:rFonts w:cstheme="minorHAnsi"/>
          <w:b/>
          <w:sz w:val="28"/>
        </w:rPr>
        <w:t>°</w:t>
      </w:r>
      <w:r>
        <w:rPr>
          <w:b/>
          <w:sz w:val="28"/>
        </w:rPr>
        <w:t xml:space="preserve">C based on </w:t>
      </w:r>
      <w:r w:rsidR="006C42AA">
        <w:rPr>
          <w:b/>
          <w:sz w:val="28"/>
        </w:rPr>
        <w:t>the IPCC Special Report on 1.5</w:t>
      </w:r>
      <w:r w:rsidR="00407A97">
        <w:rPr>
          <w:rFonts w:cstheme="minorHAnsi"/>
          <w:b/>
          <w:sz w:val="28"/>
        </w:rPr>
        <w:t>°</w:t>
      </w:r>
      <w:r w:rsidR="006C42AA">
        <w:rPr>
          <w:b/>
          <w:sz w:val="28"/>
        </w:rPr>
        <w:t>C</w:t>
      </w:r>
    </w:p>
    <w:p w14:paraId="55A8F801" w14:textId="2A1B1F72" w:rsidR="00407A97" w:rsidRPr="00407A97" w:rsidRDefault="00407A97" w:rsidP="006C42AA">
      <w:pPr>
        <w:jc w:val="center"/>
        <w:rPr>
          <w:i/>
        </w:rPr>
      </w:pPr>
      <w:r w:rsidRPr="00407A97">
        <w:rPr>
          <w:i/>
        </w:rPr>
        <w:t xml:space="preserve">A/Prof. Malte Meinshausen, The University of Melbourne, </w:t>
      </w:r>
      <w:r w:rsidR="007448AF">
        <w:rPr>
          <w:i/>
        </w:rPr>
        <w:t xml:space="preserve">Draft, </w:t>
      </w:r>
      <w:r w:rsidR="00517DC5">
        <w:rPr>
          <w:i/>
        </w:rPr>
        <w:t>1</w:t>
      </w:r>
      <w:r w:rsidR="009C1A23">
        <w:rPr>
          <w:i/>
        </w:rPr>
        <w:t>2</w:t>
      </w:r>
      <w:r w:rsidR="00517DC5">
        <w:rPr>
          <w:i/>
        </w:rPr>
        <w:t xml:space="preserve"> February</w:t>
      </w:r>
      <w:r w:rsidRPr="00407A97">
        <w:rPr>
          <w:i/>
        </w:rPr>
        <w:t xml:space="preserve"> 2019</w:t>
      </w:r>
      <w:r w:rsidR="009E18F5">
        <w:rPr>
          <w:i/>
        </w:rPr>
        <w:t>, updated 19 March 2019</w:t>
      </w:r>
    </w:p>
    <w:p w14:paraId="4E3F1953" w14:textId="77777777" w:rsidR="00407A97" w:rsidRPr="006C42AA" w:rsidRDefault="00407A97" w:rsidP="006C42AA">
      <w:pPr>
        <w:jc w:val="center"/>
        <w:rPr>
          <w:b/>
          <w:sz w:val="28"/>
        </w:rPr>
      </w:pPr>
    </w:p>
    <w:tbl>
      <w:tblPr>
        <w:tblStyle w:val="TableGrid"/>
        <w:tblW w:w="0" w:type="auto"/>
        <w:tblLook w:val="04A0" w:firstRow="1" w:lastRow="0" w:firstColumn="1" w:lastColumn="0" w:noHBand="0" w:noVBand="1"/>
      </w:tblPr>
      <w:tblGrid>
        <w:gridCol w:w="9016"/>
      </w:tblGrid>
      <w:tr w:rsidR="006C42AA" w14:paraId="090572A1" w14:textId="77777777" w:rsidTr="0C33D021">
        <w:tc>
          <w:tcPr>
            <w:tcW w:w="9016" w:type="dxa"/>
            <w:shd w:val="clear" w:color="auto" w:fill="E7E6E6" w:themeFill="background2"/>
          </w:tcPr>
          <w:p w14:paraId="65BB729F" w14:textId="77777777" w:rsidR="006C42AA" w:rsidRDefault="006C42AA" w:rsidP="006C42AA">
            <w:pPr>
              <w:jc w:val="center"/>
              <w:rPr>
                <w:rFonts w:cstheme="minorHAnsi"/>
                <w:b/>
              </w:rPr>
            </w:pPr>
            <w:r>
              <w:rPr>
                <w:rFonts w:cstheme="minorHAnsi"/>
                <w:b/>
              </w:rPr>
              <w:t>Summary</w:t>
            </w:r>
          </w:p>
          <w:p w14:paraId="6329260F" w14:textId="77777777" w:rsidR="006C42AA" w:rsidRDefault="006C42AA" w:rsidP="006C42AA">
            <w:pPr>
              <w:jc w:val="center"/>
              <w:rPr>
                <w:rFonts w:cstheme="minorHAnsi"/>
                <w:b/>
              </w:rPr>
            </w:pPr>
          </w:p>
          <w:p w14:paraId="66AC12BB" w14:textId="7F913431" w:rsidR="001D4218" w:rsidRDefault="0064716E" w:rsidP="001D4218">
            <w:r>
              <w:rPr>
                <w:rFonts w:cstheme="minorHAnsi"/>
              </w:rPr>
              <w:t xml:space="preserve">This paper </w:t>
            </w:r>
            <w:r w:rsidR="009B1B59">
              <w:rPr>
                <w:rFonts w:cstheme="minorHAnsi"/>
              </w:rPr>
              <w:t xml:space="preserve">provides advice to the Victorian interim targets Independent Expert Panel on developing a 1.5°C </w:t>
            </w:r>
            <w:r w:rsidR="00A56099">
              <w:rPr>
                <w:rFonts w:cstheme="minorHAnsi"/>
              </w:rPr>
              <w:t xml:space="preserve">greenhouse gas </w:t>
            </w:r>
            <w:r w:rsidR="009B1B59">
              <w:rPr>
                <w:rFonts w:cstheme="minorHAnsi"/>
              </w:rPr>
              <w:t xml:space="preserve">emissions budget for Victoria for the </w:t>
            </w:r>
            <w:r w:rsidR="009B1B59" w:rsidRPr="006619C8">
              <w:rPr>
                <w:rFonts w:cstheme="minorHAnsi"/>
              </w:rPr>
              <w:t>period 201</w:t>
            </w:r>
            <w:r w:rsidR="00F007ED" w:rsidRPr="006619C8">
              <w:rPr>
                <w:rFonts w:cstheme="minorHAnsi"/>
              </w:rPr>
              <w:t>7</w:t>
            </w:r>
            <w:r w:rsidR="009B1B59" w:rsidRPr="006619C8">
              <w:rPr>
                <w:rFonts w:cstheme="minorHAnsi"/>
              </w:rPr>
              <w:t>-2050</w:t>
            </w:r>
            <w:r w:rsidR="00A56099" w:rsidRPr="006619C8">
              <w:rPr>
                <w:rFonts w:cstheme="minorHAnsi"/>
              </w:rPr>
              <w:t>.</w:t>
            </w:r>
            <w:r w:rsidR="001D4218">
              <w:rPr>
                <w:rFonts w:cstheme="minorHAnsi"/>
              </w:rPr>
              <w:t xml:space="preserve"> It</w:t>
            </w:r>
            <w:r w:rsidR="001D4218">
              <w:t xml:space="preserve"> builds on decisions taken by the Independent Expert Panel based on advice provided to the Panel by Meinshausen, </w:t>
            </w:r>
            <w:proofErr w:type="spellStart"/>
            <w:r w:rsidR="001D4218">
              <w:t>Robiou</w:t>
            </w:r>
            <w:proofErr w:type="spellEnd"/>
            <w:r w:rsidR="001D4218">
              <w:t xml:space="preserve"> du Pont and Talberg in May 2018 on developing a 2</w:t>
            </w:r>
            <w:r w:rsidR="001D4218">
              <w:rPr>
                <w:rFonts w:cstheme="minorHAnsi"/>
              </w:rPr>
              <w:t>°</w:t>
            </w:r>
            <w:r w:rsidR="001D4218">
              <w:t>C emissions budget for Victoria for the period</w:t>
            </w:r>
            <w:r w:rsidR="00F007ED">
              <w:t xml:space="preserve"> </w:t>
            </w:r>
            <w:r w:rsidR="006619C8">
              <w:t>to</w:t>
            </w:r>
            <w:r w:rsidR="00F007ED">
              <w:t xml:space="preserve"> </w:t>
            </w:r>
            <w:r w:rsidR="001D4218">
              <w:t>2050.</w:t>
            </w:r>
          </w:p>
          <w:p w14:paraId="48809BB0" w14:textId="77777777" w:rsidR="00A56099" w:rsidRDefault="00A56099" w:rsidP="006C42AA">
            <w:pPr>
              <w:rPr>
                <w:rFonts w:cstheme="minorHAnsi"/>
              </w:rPr>
            </w:pPr>
          </w:p>
          <w:p w14:paraId="08E178BF" w14:textId="69728121" w:rsidR="006C42AA" w:rsidRDefault="006C42AA" w:rsidP="006C42AA">
            <w:pPr>
              <w:rPr>
                <w:rFonts w:cstheme="minorHAnsi"/>
              </w:rPr>
            </w:pPr>
            <w:r>
              <w:rPr>
                <w:rFonts w:cstheme="minorHAnsi"/>
              </w:rPr>
              <w:t>The IPCC Special R</w:t>
            </w:r>
            <w:r w:rsidRPr="006C42AA">
              <w:rPr>
                <w:rFonts w:cstheme="minorHAnsi"/>
              </w:rPr>
              <w:t>eport</w:t>
            </w:r>
            <w:r>
              <w:rPr>
                <w:rFonts w:cstheme="minorHAnsi"/>
              </w:rPr>
              <w:t xml:space="preserve"> on 1.5</w:t>
            </w:r>
            <w:r w:rsidR="00407A97">
              <w:rPr>
                <w:rFonts w:cstheme="minorHAnsi"/>
              </w:rPr>
              <w:t>°</w:t>
            </w:r>
            <w:r>
              <w:rPr>
                <w:rFonts w:cstheme="minorHAnsi"/>
              </w:rPr>
              <w:t>C</w:t>
            </w:r>
            <w:r w:rsidRPr="006C42AA">
              <w:rPr>
                <w:rFonts w:cstheme="minorHAnsi"/>
              </w:rPr>
              <w:t xml:space="preserve"> provides </w:t>
            </w:r>
            <w:r w:rsidR="00407A97">
              <w:rPr>
                <w:rFonts w:cstheme="minorHAnsi"/>
              </w:rPr>
              <w:t>the latest scientific assessment on</w:t>
            </w:r>
            <w:r w:rsidRPr="006C42AA">
              <w:rPr>
                <w:rFonts w:cstheme="minorHAnsi"/>
              </w:rPr>
              <w:t xml:space="preserve"> scenarios and information on 1.5</w:t>
            </w:r>
            <w:r w:rsidR="00407A97">
              <w:rPr>
                <w:rFonts w:cstheme="minorHAnsi"/>
              </w:rPr>
              <w:t>°</w:t>
            </w:r>
            <w:r>
              <w:rPr>
                <w:rFonts w:cstheme="minorHAnsi"/>
              </w:rPr>
              <w:t>C</w:t>
            </w:r>
            <w:r w:rsidRPr="006C42AA">
              <w:rPr>
                <w:rFonts w:cstheme="minorHAnsi"/>
              </w:rPr>
              <w:t xml:space="preserve"> </w:t>
            </w:r>
            <w:r w:rsidR="00407A97">
              <w:rPr>
                <w:rFonts w:cstheme="minorHAnsi"/>
              </w:rPr>
              <w:t xml:space="preserve">carbon budgets. This new information is here used to </w:t>
            </w:r>
            <w:r w:rsidR="008D4FC5">
              <w:rPr>
                <w:rFonts w:cstheme="minorHAnsi"/>
              </w:rPr>
              <w:t xml:space="preserve">derive a global emission budget that can be useful for the deduction of Australian and Victorian state level emission budgets. </w:t>
            </w:r>
          </w:p>
          <w:p w14:paraId="4CE1E7A4" w14:textId="77777777" w:rsidR="00407A97" w:rsidRDefault="00407A97" w:rsidP="006C42AA">
            <w:pPr>
              <w:rPr>
                <w:rFonts w:cstheme="minorHAnsi"/>
              </w:rPr>
            </w:pPr>
          </w:p>
          <w:p w14:paraId="11805785" w14:textId="2290A7FA" w:rsidR="008D4FC5" w:rsidRDefault="008D4FC5" w:rsidP="006C42AA">
            <w:pPr>
              <w:rPr>
                <w:rFonts w:cstheme="minorHAnsi"/>
              </w:rPr>
            </w:pPr>
            <w:r>
              <w:rPr>
                <w:rFonts w:cstheme="minorHAnsi"/>
              </w:rPr>
              <w:t>This 2013-2050</w:t>
            </w:r>
            <w:r w:rsidR="006619C8">
              <w:rPr>
                <w:rStyle w:val="FootnoteReference"/>
                <w:rFonts w:cstheme="minorHAnsi"/>
              </w:rPr>
              <w:footnoteReference w:id="1"/>
            </w:r>
            <w:r>
              <w:rPr>
                <w:rFonts w:cstheme="minorHAnsi"/>
              </w:rPr>
              <w:t xml:space="preserve"> global emission budget to stay below 1.5</w:t>
            </w:r>
            <w:r w:rsidR="007448AF">
              <w:rPr>
                <w:rFonts w:cstheme="minorHAnsi"/>
              </w:rPr>
              <w:t>°</w:t>
            </w:r>
            <w:r>
              <w:rPr>
                <w:rFonts w:cstheme="minorHAnsi"/>
              </w:rPr>
              <w:t xml:space="preserve">C is </w:t>
            </w:r>
            <w:r w:rsidR="00D00BB8">
              <w:rPr>
                <w:rFonts w:cstheme="minorHAnsi"/>
                <w:b/>
              </w:rPr>
              <w:t>800</w:t>
            </w:r>
            <w:r w:rsidRPr="007448AF">
              <w:rPr>
                <w:rFonts w:cstheme="minorHAnsi"/>
                <w:b/>
              </w:rPr>
              <w:t xml:space="preserve"> GtCO</w:t>
            </w:r>
            <w:r w:rsidRPr="007448AF">
              <w:rPr>
                <w:rFonts w:cstheme="minorHAnsi"/>
                <w:b/>
                <w:vertAlign w:val="subscript"/>
              </w:rPr>
              <w:t>2</w:t>
            </w:r>
            <w:r w:rsidRPr="007448AF">
              <w:rPr>
                <w:rFonts w:cstheme="minorHAnsi"/>
                <w:b/>
              </w:rPr>
              <w:t xml:space="preserve"> eq</w:t>
            </w:r>
            <w:r>
              <w:rPr>
                <w:rFonts w:cstheme="minorHAnsi"/>
              </w:rPr>
              <w:t xml:space="preserve">, including all major greenhouse gases (using a GWP-100 AR4 metric). </w:t>
            </w:r>
            <w:r w:rsidR="007448AF">
              <w:rPr>
                <w:rFonts w:cstheme="minorHAnsi"/>
              </w:rPr>
              <w:t>This is derived from the central IPCC Special Report on 1.5</w:t>
            </w:r>
            <w:r w:rsidR="00F007ED">
              <w:rPr>
                <w:rFonts w:cstheme="minorHAnsi"/>
              </w:rPr>
              <w:t>°</w:t>
            </w:r>
            <w:r w:rsidR="007448AF">
              <w:rPr>
                <w:rFonts w:cstheme="minorHAnsi"/>
              </w:rPr>
              <w:t>C result that to keep warming below 1.5</w:t>
            </w:r>
            <w:r w:rsidR="00F007ED">
              <w:rPr>
                <w:rFonts w:cstheme="minorHAnsi"/>
              </w:rPr>
              <w:t>°</w:t>
            </w:r>
            <w:r w:rsidR="007448AF">
              <w:rPr>
                <w:rFonts w:cstheme="minorHAnsi"/>
              </w:rPr>
              <w:t xml:space="preserve">C with a 50% chance, cumulative carbon emissions </w:t>
            </w:r>
            <w:proofErr w:type="gramStart"/>
            <w:r w:rsidR="007448AF">
              <w:rPr>
                <w:rFonts w:cstheme="minorHAnsi"/>
              </w:rPr>
              <w:t>have to</w:t>
            </w:r>
            <w:proofErr w:type="gramEnd"/>
            <w:r w:rsidR="007448AF">
              <w:rPr>
                <w:rFonts w:cstheme="minorHAnsi"/>
              </w:rPr>
              <w:t xml:space="preserve"> be kept below 580 GtCO</w:t>
            </w:r>
            <w:r w:rsidR="007448AF" w:rsidRPr="007448AF">
              <w:rPr>
                <w:rFonts w:cstheme="minorHAnsi"/>
                <w:vertAlign w:val="subscript"/>
              </w:rPr>
              <w:t>2</w:t>
            </w:r>
            <w:r w:rsidR="007448AF">
              <w:rPr>
                <w:rFonts w:cstheme="minorHAnsi"/>
              </w:rPr>
              <w:t xml:space="preserve"> from January 2018 onwards. </w:t>
            </w:r>
          </w:p>
          <w:p w14:paraId="03AA5419" w14:textId="77777777" w:rsidR="007448AF" w:rsidRDefault="007448AF" w:rsidP="006C42AA">
            <w:pPr>
              <w:rPr>
                <w:rFonts w:cstheme="minorHAnsi"/>
              </w:rPr>
            </w:pPr>
          </w:p>
          <w:p w14:paraId="38690133" w14:textId="779C4892" w:rsidR="00FA1A40" w:rsidRPr="007448AF" w:rsidRDefault="007448AF" w:rsidP="006C42AA">
            <w:pPr>
              <w:rPr>
                <w:rFonts w:cstheme="minorHAnsi"/>
              </w:rPr>
            </w:pPr>
            <w:r>
              <w:rPr>
                <w:rFonts w:cstheme="minorHAnsi"/>
              </w:rPr>
              <w:t xml:space="preserve">When using </w:t>
            </w:r>
            <w:r w:rsidR="0063224A">
              <w:rPr>
                <w:rFonts w:cstheme="minorHAnsi"/>
              </w:rPr>
              <w:t xml:space="preserve">value judgements regarding Australia’s and Victoria’s respective fair shares of the global emissions budget and subtracting </w:t>
            </w:r>
            <w:r>
              <w:rPr>
                <w:rFonts w:cstheme="minorHAnsi"/>
              </w:rPr>
              <w:t xml:space="preserve">historical Australian and Victorian emissions </w:t>
            </w:r>
            <w:r w:rsidR="0063224A">
              <w:rPr>
                <w:rFonts w:cstheme="minorHAnsi"/>
              </w:rPr>
              <w:t>for the period 2014-2016</w:t>
            </w:r>
            <w:r>
              <w:rPr>
                <w:rFonts w:cstheme="minorHAnsi"/>
              </w:rPr>
              <w:t>, this global emission budget can be turned into a remaining emission</w:t>
            </w:r>
            <w:r w:rsidR="0063224A">
              <w:rPr>
                <w:rFonts w:cstheme="minorHAnsi"/>
              </w:rPr>
              <w:t>s</w:t>
            </w:r>
            <w:r>
              <w:rPr>
                <w:rFonts w:cstheme="minorHAnsi"/>
              </w:rPr>
              <w:t xml:space="preserve"> budget for Victoria</w:t>
            </w:r>
            <w:r w:rsidR="00077002">
              <w:rPr>
                <w:rFonts w:cstheme="minorHAnsi"/>
              </w:rPr>
              <w:t xml:space="preserve"> of </w:t>
            </w:r>
            <w:r w:rsidR="00D00BB8">
              <w:rPr>
                <w:rFonts w:cstheme="minorHAnsi"/>
                <w:b/>
              </w:rPr>
              <w:t>1.25</w:t>
            </w:r>
            <w:r w:rsidR="00077002" w:rsidRPr="00077002">
              <w:rPr>
                <w:rFonts w:cstheme="minorHAnsi"/>
                <w:b/>
              </w:rPr>
              <w:t xml:space="preserve"> GtCO</w:t>
            </w:r>
            <w:r w:rsidR="00077002" w:rsidRPr="00077002">
              <w:rPr>
                <w:rFonts w:cstheme="minorHAnsi"/>
                <w:b/>
                <w:vertAlign w:val="subscript"/>
              </w:rPr>
              <w:t>2</w:t>
            </w:r>
            <w:r w:rsidR="00077002" w:rsidRPr="00077002">
              <w:rPr>
                <w:rFonts w:cstheme="minorHAnsi"/>
                <w:b/>
              </w:rPr>
              <w:t>eq between 201</w:t>
            </w:r>
            <w:r w:rsidR="00F007ED">
              <w:rPr>
                <w:rFonts w:cstheme="minorHAnsi"/>
                <w:b/>
              </w:rPr>
              <w:t>7</w:t>
            </w:r>
            <w:r w:rsidR="00077002" w:rsidRPr="00077002">
              <w:rPr>
                <w:rFonts w:cstheme="minorHAnsi"/>
                <w:b/>
              </w:rPr>
              <w:t xml:space="preserve"> and 2050</w:t>
            </w:r>
            <w:r>
              <w:rPr>
                <w:rFonts w:cstheme="minorHAnsi"/>
              </w:rPr>
              <w:t xml:space="preserve">. The below briefing details the steps taken to derive the </w:t>
            </w:r>
            <w:r w:rsidR="00077002">
              <w:rPr>
                <w:rFonts w:cstheme="minorHAnsi"/>
              </w:rPr>
              <w:t xml:space="preserve">global </w:t>
            </w:r>
            <w:r w:rsidR="00D00BB8">
              <w:rPr>
                <w:rFonts w:cstheme="minorHAnsi"/>
              </w:rPr>
              <w:t>800</w:t>
            </w:r>
            <w:r>
              <w:rPr>
                <w:rFonts w:cstheme="minorHAnsi"/>
              </w:rPr>
              <w:t xml:space="preserve"> GtCO</w:t>
            </w:r>
            <w:r w:rsidRPr="007448AF">
              <w:rPr>
                <w:rFonts w:cstheme="minorHAnsi"/>
                <w:vertAlign w:val="subscript"/>
              </w:rPr>
              <w:t>2</w:t>
            </w:r>
            <w:r>
              <w:rPr>
                <w:rFonts w:cstheme="minorHAnsi"/>
              </w:rPr>
              <w:t xml:space="preserve">eq emission budget </w:t>
            </w:r>
            <w:r w:rsidR="00077002">
              <w:rPr>
                <w:rFonts w:cstheme="minorHAnsi"/>
              </w:rPr>
              <w:t xml:space="preserve">and the Victorian shares </w:t>
            </w:r>
            <w:r>
              <w:rPr>
                <w:rFonts w:cstheme="minorHAnsi"/>
              </w:rPr>
              <w:t>from the 580 GtCO</w:t>
            </w:r>
            <w:r w:rsidRPr="007448AF">
              <w:rPr>
                <w:rFonts w:cstheme="minorHAnsi"/>
                <w:vertAlign w:val="subscript"/>
              </w:rPr>
              <w:t>2</w:t>
            </w:r>
            <w:r>
              <w:rPr>
                <w:rFonts w:cstheme="minorHAnsi"/>
              </w:rPr>
              <w:t xml:space="preserve"> number in the IPCC Special Report on 1.5°C. </w:t>
            </w:r>
          </w:p>
          <w:p w14:paraId="2F5FCB42" w14:textId="77777777" w:rsidR="006C42AA" w:rsidRPr="00132E97" w:rsidRDefault="00763A17" w:rsidP="00132E97">
            <w:pPr>
              <w:rPr>
                <w:rFonts w:cstheme="minorHAnsi"/>
              </w:rPr>
            </w:pPr>
            <w:r>
              <w:rPr>
                <w:rFonts w:cstheme="minorHAnsi"/>
              </w:rPr>
              <w:t xml:space="preserve"> </w:t>
            </w:r>
          </w:p>
        </w:tc>
      </w:tr>
    </w:tbl>
    <w:p w14:paraId="310B4130" w14:textId="77777777" w:rsidR="00132E97" w:rsidRDefault="00132E97">
      <w:pPr>
        <w:rPr>
          <w:rFonts w:cstheme="minorHAnsi"/>
          <w:b/>
        </w:rPr>
      </w:pPr>
    </w:p>
    <w:p w14:paraId="4834E225" w14:textId="20CB954D" w:rsidR="008A5BD3" w:rsidRDefault="00517DC5">
      <w:r>
        <w:t>In the following, this briefing paper details the adjustment steps to derive a 1.5</w:t>
      </w:r>
      <w:r>
        <w:rPr>
          <w:rFonts w:cstheme="minorHAnsi"/>
        </w:rPr>
        <w:t>°</w:t>
      </w:r>
      <w:r>
        <w:t>C carbon budget for the Victorian context, starting from the recent IPCC Special Report on 1.5</w:t>
      </w:r>
      <w:r>
        <w:rPr>
          <w:rFonts w:cstheme="minorHAnsi"/>
        </w:rPr>
        <w:t>°</w:t>
      </w:r>
      <w:r>
        <w:t xml:space="preserve">C. In a first step, the global carbon budget is derived, in a second step the carbon budget is translated into </w:t>
      </w:r>
      <w:r w:rsidR="00C223BB">
        <w:t>one until</w:t>
      </w:r>
      <w:r>
        <w:t xml:space="preserve"> 2050 and in the third step, </w:t>
      </w:r>
      <w:r w:rsidR="00C223BB">
        <w:t>the carbon budget is translated into an emission budget. T</w:t>
      </w:r>
      <w:r>
        <w:t xml:space="preserve">he Australian and Victorian </w:t>
      </w:r>
      <w:r w:rsidR="008A5BD3">
        <w:t xml:space="preserve">emissions budgets are then calculated as shares of the global budget and updated to the period 2017-2050 by subtracting historical emissions (see steps 4 and 5). </w:t>
      </w:r>
    </w:p>
    <w:p w14:paraId="0454F3A7" w14:textId="77777777" w:rsidR="006C42AA" w:rsidRPr="006C42AA" w:rsidRDefault="00445864" w:rsidP="00517DC5">
      <w:pPr>
        <w:pStyle w:val="Heading1"/>
      </w:pPr>
      <w:r>
        <w:t xml:space="preserve">Step 1: </w:t>
      </w:r>
      <w:r w:rsidR="006C42AA">
        <w:t>A global 1.5</w:t>
      </w:r>
      <w:r w:rsidR="00AF63D7">
        <w:t>°</w:t>
      </w:r>
      <w:r w:rsidR="006C42AA">
        <w:t xml:space="preserve">C </w:t>
      </w:r>
      <w:r w:rsidR="00DA336E">
        <w:t xml:space="preserve">carbon </w:t>
      </w:r>
      <w:r w:rsidR="006C42AA">
        <w:t>budget</w:t>
      </w:r>
      <w:r w:rsidR="00AF63D7">
        <w:t xml:space="preserve"> is ~</w:t>
      </w:r>
      <w:r>
        <w:t>500 GtCO</w:t>
      </w:r>
      <w:r w:rsidRPr="00445864">
        <w:rPr>
          <w:vertAlign w:val="subscript"/>
        </w:rPr>
        <w:t>2</w:t>
      </w:r>
    </w:p>
    <w:p w14:paraId="4A140C02" w14:textId="39011104" w:rsidR="001D3662" w:rsidRDefault="474E161E">
      <w:r w:rsidRPr="00D73966">
        <w:t>The</w:t>
      </w:r>
      <w:r w:rsidR="008A32EC" w:rsidRPr="00D73966">
        <w:t xml:space="preserve"> IPCC report provides an estimate for </w:t>
      </w:r>
      <w:r w:rsidR="74A54DD8" w:rsidRPr="00D73966">
        <w:t>a global</w:t>
      </w:r>
      <w:r w:rsidRPr="00D73966">
        <w:t xml:space="preserve"> </w:t>
      </w:r>
      <w:r w:rsidR="00152E7B">
        <w:t xml:space="preserve">remaining </w:t>
      </w:r>
      <w:r w:rsidR="008A32EC" w:rsidRPr="00D73966">
        <w:rPr>
          <w:u w:val="single"/>
        </w:rPr>
        <w:t>carbon</w:t>
      </w:r>
      <w:r w:rsidR="008A32EC" w:rsidRPr="00D73966">
        <w:t xml:space="preserve"> budget of </w:t>
      </w:r>
      <w:r w:rsidR="0CCE16FF" w:rsidRPr="001723BC">
        <w:rPr>
          <w:b/>
        </w:rPr>
        <w:t>580</w:t>
      </w:r>
      <w:r w:rsidR="00537CD5" w:rsidRPr="001723BC">
        <w:rPr>
          <w:b/>
        </w:rPr>
        <w:t xml:space="preserve"> GtCO</w:t>
      </w:r>
      <w:r w:rsidR="00537CD5" w:rsidRPr="001723BC">
        <w:rPr>
          <w:b/>
          <w:vertAlign w:val="subscript"/>
        </w:rPr>
        <w:t>2</w:t>
      </w:r>
      <w:r w:rsidR="00537CD5" w:rsidRPr="00D73966">
        <w:t xml:space="preserve"> </w:t>
      </w:r>
      <w:r w:rsidR="00E54925">
        <w:t xml:space="preserve">(excluding permafrost </w:t>
      </w:r>
      <w:r w:rsidR="00E54925" w:rsidRPr="00AF63D7">
        <w:t xml:space="preserve">feedbacks) </w:t>
      </w:r>
      <w:r w:rsidR="008A32EC" w:rsidRPr="00AF63D7">
        <w:t xml:space="preserve">based on </w:t>
      </w:r>
      <w:r w:rsidR="0CCE16FF" w:rsidRPr="00AF63D7">
        <w:t>a 50</w:t>
      </w:r>
      <w:r w:rsidR="00537CD5" w:rsidRPr="00AF63D7">
        <w:t xml:space="preserve">% </w:t>
      </w:r>
      <w:r w:rsidR="008A32EC" w:rsidRPr="00AF63D7">
        <w:t xml:space="preserve">probability of </w:t>
      </w:r>
      <w:r w:rsidR="0CCE16FF" w:rsidRPr="00AF63D7">
        <w:t xml:space="preserve">limiting warming </w:t>
      </w:r>
      <w:r w:rsidR="00774111" w:rsidRPr="00AF63D7">
        <w:t xml:space="preserve">to </w:t>
      </w:r>
      <w:r w:rsidR="008A32EC" w:rsidRPr="00AF63D7">
        <w:t xml:space="preserve">1.5 degrees </w:t>
      </w:r>
      <w:r w:rsidR="00152E7B" w:rsidRPr="00AF63D7">
        <w:t>relative to 1850 to 1900 during and beyond this century</w:t>
      </w:r>
      <w:r w:rsidR="0CCE16FF" w:rsidRPr="00AF63D7">
        <w:t xml:space="preserve"> </w:t>
      </w:r>
      <w:r w:rsidR="00132E97" w:rsidRPr="00AF63D7">
        <w:t>and</w:t>
      </w:r>
      <w:r w:rsidR="0CCE16FF" w:rsidRPr="00AF63D7">
        <w:t xml:space="preserve"> a </w:t>
      </w:r>
      <w:r w:rsidR="00152E7B" w:rsidRPr="00AF63D7">
        <w:t>remaining</w:t>
      </w:r>
      <w:r w:rsidR="00152E7B">
        <w:t xml:space="preserve"> </w:t>
      </w:r>
      <w:r w:rsidRPr="00D73966">
        <w:t xml:space="preserve">carbon </w:t>
      </w:r>
      <w:r w:rsidR="0CCE16FF" w:rsidRPr="00D73966">
        <w:t>budget of</w:t>
      </w:r>
      <w:r w:rsidR="00EC3432" w:rsidRPr="00EC3432">
        <w:t xml:space="preserve"> </w:t>
      </w:r>
      <w:r w:rsidR="0CCE16FF" w:rsidRPr="00D73966">
        <w:t>420 GtCO</w:t>
      </w:r>
      <w:r w:rsidR="0CCE16FF" w:rsidRPr="00152E7B">
        <w:rPr>
          <w:vertAlign w:val="subscript"/>
        </w:rPr>
        <w:t>2</w:t>
      </w:r>
      <w:r w:rsidR="00132E97" w:rsidRPr="00D73966">
        <w:t xml:space="preserve"> for a 67% chance</w:t>
      </w:r>
      <w:r w:rsidR="00152E7B">
        <w:t xml:space="preserve"> (see Table 2.2</w:t>
      </w:r>
      <w:r w:rsidR="00E54925">
        <w:t xml:space="preserve"> in the IPCC Special Report on 1.5</w:t>
      </w:r>
      <w:r w:rsidR="00AF63D7">
        <w:rPr>
          <w:rFonts w:cstheme="minorHAnsi"/>
        </w:rPr>
        <w:t>°</w:t>
      </w:r>
      <w:r w:rsidR="00E54925">
        <w:t>C</w:t>
      </w:r>
      <w:r w:rsidR="00152E7B">
        <w:t>)</w:t>
      </w:r>
      <w:r w:rsidRPr="00D73966">
        <w:t>.</w:t>
      </w:r>
      <w:r w:rsidR="008A32EC" w:rsidRPr="0CCE16FF">
        <w:t xml:space="preserve"> </w:t>
      </w:r>
    </w:p>
    <w:p w14:paraId="7E1D875C" w14:textId="5F385024" w:rsidR="00E54925" w:rsidRDefault="00F15CF6" w:rsidP="00E54925">
      <w:r>
        <w:lastRenderedPageBreak/>
        <w:t xml:space="preserve">There are a couple of steps to adjust that </w:t>
      </w:r>
      <w:r w:rsidR="00E54925" w:rsidRPr="001723BC">
        <w:rPr>
          <w:b/>
        </w:rPr>
        <w:t>580</w:t>
      </w:r>
      <w:r w:rsidR="00AF63D7">
        <w:rPr>
          <w:b/>
        </w:rPr>
        <w:t xml:space="preserve"> </w:t>
      </w:r>
      <w:r w:rsidR="00E54925" w:rsidRPr="001723BC">
        <w:rPr>
          <w:b/>
        </w:rPr>
        <w:t>GtCO</w:t>
      </w:r>
      <w:r w:rsidR="00E54925" w:rsidRPr="001723BC">
        <w:rPr>
          <w:b/>
          <w:vertAlign w:val="subscript"/>
        </w:rPr>
        <w:t>2</w:t>
      </w:r>
      <w:r w:rsidR="00E54925">
        <w:t xml:space="preserve"> figure for the Australian discussion context. These steps are:</w:t>
      </w:r>
    </w:p>
    <w:p w14:paraId="4DDEBE12" w14:textId="77777777" w:rsidR="00E54925" w:rsidRDefault="001723BC" w:rsidP="00E54925">
      <w:pPr>
        <w:pStyle w:val="ListParagraph"/>
        <w:numPr>
          <w:ilvl w:val="0"/>
          <w:numId w:val="10"/>
        </w:numPr>
      </w:pPr>
      <w:r>
        <w:rPr>
          <w:b/>
        </w:rPr>
        <w:t>2013 instead of 2018 s</w:t>
      </w:r>
      <w:r w:rsidR="00E54925" w:rsidRPr="006B5BC9">
        <w:rPr>
          <w:b/>
        </w:rPr>
        <w:t>tarting year</w:t>
      </w:r>
      <w:r w:rsidR="006B5BC9">
        <w:rPr>
          <w:b/>
        </w:rPr>
        <w:t xml:space="preserve"> of remaining budget</w:t>
      </w:r>
      <w:r w:rsidR="00E54925" w:rsidRPr="006B5BC9">
        <w:rPr>
          <w:b/>
        </w:rPr>
        <w:t>:</w:t>
      </w:r>
      <w:r w:rsidR="00E54925">
        <w:t xml:space="preserve"> The Australian carbon budgets in the context of the national policy debate are often expressed </w:t>
      </w:r>
      <w:proofErr w:type="gramStart"/>
      <w:r w:rsidR="00E54925">
        <w:t>with regard to</w:t>
      </w:r>
      <w:proofErr w:type="gramEnd"/>
      <w:r w:rsidR="00E54925">
        <w:t xml:space="preserve"> a 2013 starting year, not 2018. Approximately 200 GtCO</w:t>
      </w:r>
      <w:r w:rsidR="00E54925" w:rsidRPr="001723BC">
        <w:rPr>
          <w:vertAlign w:val="subscript"/>
        </w:rPr>
        <w:t>2</w:t>
      </w:r>
      <w:r w:rsidR="00E54925">
        <w:t xml:space="preserve"> of carbon emissions have been emitted over the years 2013 to 2017 globally, which </w:t>
      </w:r>
      <w:proofErr w:type="gramStart"/>
      <w:r w:rsidR="00E54925">
        <w:t>have to</w:t>
      </w:r>
      <w:proofErr w:type="gramEnd"/>
      <w:r w:rsidR="00E54925">
        <w:t xml:space="preserve"> be added to the IPCC Special Report 1.5</w:t>
      </w:r>
      <w:r>
        <w:rPr>
          <w:rFonts w:cstheme="minorHAnsi"/>
        </w:rPr>
        <w:t>°</w:t>
      </w:r>
      <w:r w:rsidR="00E54925">
        <w:t>C number of 580 GtCO</w:t>
      </w:r>
      <w:r w:rsidR="00E54925" w:rsidRPr="001723BC">
        <w:rPr>
          <w:vertAlign w:val="subscript"/>
        </w:rPr>
        <w:t>2</w:t>
      </w:r>
      <w:r w:rsidR="00E54925">
        <w:t>.</w:t>
      </w:r>
    </w:p>
    <w:p w14:paraId="752E96DF" w14:textId="18434B24" w:rsidR="00E54925" w:rsidRDefault="001723BC" w:rsidP="00E54925">
      <w:pPr>
        <w:pStyle w:val="ListParagraph"/>
        <w:numPr>
          <w:ilvl w:val="0"/>
          <w:numId w:val="10"/>
        </w:numPr>
      </w:pPr>
      <w:r w:rsidRPr="001723BC">
        <w:rPr>
          <w:b/>
        </w:rPr>
        <w:t>Accounting for Earth System feedbacks, i.e. mainly p</w:t>
      </w:r>
      <w:r w:rsidR="00E54925" w:rsidRPr="001723BC">
        <w:rPr>
          <w:b/>
        </w:rPr>
        <w:t>ermafrost</w:t>
      </w:r>
      <w:r w:rsidR="00E54925">
        <w:t>: The IPCC Special report provided a flat rate 100 GtCO</w:t>
      </w:r>
      <w:r w:rsidR="00E54925" w:rsidRPr="001723BC">
        <w:rPr>
          <w:vertAlign w:val="subscript"/>
        </w:rPr>
        <w:t>2</w:t>
      </w:r>
      <w:r w:rsidR="00E54925">
        <w:t xml:space="preserve"> downward adjustment to account for permafrost feedbacks and other Earth System feedbacks that are not </w:t>
      </w:r>
      <w:r>
        <w:t>accounted for in the 580 GtCO</w:t>
      </w:r>
      <w:r w:rsidRPr="001723BC">
        <w:rPr>
          <w:vertAlign w:val="subscript"/>
        </w:rPr>
        <w:t>2</w:t>
      </w:r>
      <w:r>
        <w:t xml:space="preserve"> number. Th</w:t>
      </w:r>
      <w:r w:rsidR="00FB2B39">
        <w:t xml:space="preserve">e IPCC provides an estimate related to feedbacks separately </w:t>
      </w:r>
      <w:r w:rsidR="00F007ED">
        <w:t>due to a different method to</w:t>
      </w:r>
      <w:r w:rsidR="00FB2B39">
        <w:t xml:space="preserve"> estimate</w:t>
      </w:r>
      <w:r w:rsidR="00F007ED">
        <w:t xml:space="preserve"> those feedbacks that were still under-represented in the last generation of Earth System Models, namely permafrost.</w:t>
      </w:r>
      <w:r w:rsidR="00FB2B39">
        <w:t xml:space="preserve"> </w:t>
      </w:r>
      <w:r w:rsidR="00F007ED">
        <w:t>H</w:t>
      </w:r>
      <w:r w:rsidR="00FB2B39">
        <w:t>owever</w:t>
      </w:r>
      <w:r w:rsidR="00F007ED">
        <w:t>, the scientific consensus and the IPCC’s analysis leaves no doubt</w:t>
      </w:r>
      <w:r w:rsidR="00FB2B39">
        <w:t xml:space="preserve"> that they should be accounted for given th</w:t>
      </w:r>
      <w:r>
        <w:t>ose feedbacks eventuate sometime over the 21</w:t>
      </w:r>
      <w:r w:rsidRPr="001723BC">
        <w:rPr>
          <w:vertAlign w:val="superscript"/>
        </w:rPr>
        <w:t>st</w:t>
      </w:r>
      <w:r>
        <w:t xml:space="preserve"> century. Thus, unless net negative anthropogenic CO</w:t>
      </w:r>
      <w:r w:rsidRPr="001723BC">
        <w:rPr>
          <w:vertAlign w:val="subscript"/>
        </w:rPr>
        <w:t>2</w:t>
      </w:r>
      <w:r>
        <w:t xml:space="preserve"> emissions are relied upon for the second half of the century, the remaining carbon budget </w:t>
      </w:r>
      <w:proofErr w:type="gramStart"/>
      <w:r>
        <w:t>has to</w:t>
      </w:r>
      <w:proofErr w:type="gramEnd"/>
      <w:r>
        <w:t xml:space="preserve"> be reduced by 100 GtCO</w:t>
      </w:r>
      <w:r w:rsidRPr="001723BC">
        <w:rPr>
          <w:vertAlign w:val="subscript"/>
        </w:rPr>
        <w:t>2</w:t>
      </w:r>
      <w:r>
        <w:t xml:space="preserve"> to take into account that earth system feedbacks will lead to additional emissions of CO</w:t>
      </w:r>
      <w:r w:rsidRPr="001723BC">
        <w:rPr>
          <w:vertAlign w:val="subscript"/>
        </w:rPr>
        <w:t>2</w:t>
      </w:r>
      <w:r>
        <w:t xml:space="preserve"> and methane, which in turn amplify warming. </w:t>
      </w:r>
    </w:p>
    <w:p w14:paraId="175EDD27" w14:textId="423391CC" w:rsidR="001723BC" w:rsidRDefault="001723BC" w:rsidP="00E54925">
      <w:pPr>
        <w:pStyle w:val="ListParagraph"/>
        <w:numPr>
          <w:ilvl w:val="0"/>
          <w:numId w:val="10"/>
        </w:numPr>
      </w:pPr>
      <w:r w:rsidRPr="001723BC">
        <w:rPr>
          <w:b/>
        </w:rPr>
        <w:t>Accounting for a 1.5</w:t>
      </w:r>
      <w:r w:rsidR="00AF63D7">
        <w:rPr>
          <w:rFonts w:cstheme="minorHAnsi"/>
          <w:b/>
        </w:rPr>
        <w:t>°</w:t>
      </w:r>
      <w:r w:rsidRPr="001723BC">
        <w:rPr>
          <w:b/>
        </w:rPr>
        <w:t>C warming above pre-industrial</w:t>
      </w:r>
      <w:r w:rsidR="00D26040">
        <w:rPr>
          <w:b/>
        </w:rPr>
        <w:t xml:space="preserve"> levels</w:t>
      </w:r>
      <w:r w:rsidRPr="001723BC">
        <w:rPr>
          <w:b/>
        </w:rPr>
        <w:t>, not above 1850-1900</w:t>
      </w:r>
      <w:r w:rsidR="00D26040">
        <w:rPr>
          <w:b/>
        </w:rPr>
        <w:t xml:space="preserve"> levels</w:t>
      </w:r>
      <w:r>
        <w:t>. The Paris Agreement target of 1.5</w:t>
      </w:r>
      <w:r w:rsidR="00AF63D7">
        <w:rPr>
          <w:rFonts w:cstheme="minorHAnsi"/>
        </w:rPr>
        <w:t>°</w:t>
      </w:r>
      <w:r>
        <w:t>C refers to warming relative to pre-industrial levels. Industrialisation and thereby the onset of substantial fossil-fuel related emissions started at the end of the 17</w:t>
      </w:r>
      <w:r w:rsidRPr="001723BC">
        <w:rPr>
          <w:vertAlign w:val="superscript"/>
        </w:rPr>
        <w:t>th</w:t>
      </w:r>
      <w:r>
        <w:t xml:space="preserve"> century, which is why 1750 is often used as the pre-industrial reference point. For temperatures, </w:t>
      </w:r>
      <w:proofErr w:type="gramStart"/>
      <w:r w:rsidR="002005DB">
        <w:t>and also</w:t>
      </w:r>
      <w:proofErr w:type="gramEnd"/>
      <w:r w:rsidR="002005DB">
        <w:t xml:space="preserve"> for the remaining carbon budget calculations, sometimes a proxy period is chosen, namely the 1850-1900 period. This both has to do with Earth System Models often being started only from 1850 and that instrumental temperature records go back to then. However, new studies put a closer estimate in relation to the pre-industrial (1720-1800) warming compared to the warming in the “early-industrial” period (1850-1900), roughly of the order of 0.1</w:t>
      </w:r>
      <w:r w:rsidR="002005DB">
        <w:rPr>
          <w:rFonts w:cstheme="minorHAnsi"/>
        </w:rPr>
        <w:t>°</w:t>
      </w:r>
      <w:r w:rsidR="002005DB">
        <w:t>C (Hawkins et al., 2017). Translating that 0.1</w:t>
      </w:r>
      <w:r w:rsidR="00AF63D7">
        <w:rPr>
          <w:rFonts w:cstheme="minorHAnsi"/>
        </w:rPr>
        <w:t>°</w:t>
      </w:r>
      <w:r w:rsidR="002005DB">
        <w:t>C change into a change of the remaining carbon budget amounts to another 180 GtCO</w:t>
      </w:r>
      <w:r w:rsidR="002005DB" w:rsidRPr="00AF63D7">
        <w:rPr>
          <w:vertAlign w:val="subscript"/>
        </w:rPr>
        <w:t>2</w:t>
      </w:r>
      <w:r w:rsidR="002005DB">
        <w:t xml:space="preserve"> </w:t>
      </w:r>
      <w:r w:rsidR="00AF63D7">
        <w:t>reduction of the 580 GtCO</w:t>
      </w:r>
      <w:r w:rsidR="00AF63D7" w:rsidRPr="00AF63D7">
        <w:rPr>
          <w:vertAlign w:val="subscript"/>
        </w:rPr>
        <w:t>2</w:t>
      </w:r>
      <w:r w:rsidR="00AF63D7">
        <w:t xml:space="preserve"> number. </w:t>
      </w:r>
    </w:p>
    <w:p w14:paraId="2D56E9A0" w14:textId="77777777" w:rsidR="00AF63D7" w:rsidRDefault="00445864" w:rsidP="00AF63D7">
      <w:r>
        <w:t>Those adjustments to the IPCC SR1.5 carbon budget can be shown in equation form as follows</w:t>
      </w:r>
      <w:r w:rsidR="00AF63D7">
        <w:t xml:space="preserve">: </w:t>
      </w:r>
    </w:p>
    <w:tbl>
      <w:tblPr>
        <w:tblStyle w:val="TableGrid"/>
        <w:tblW w:w="9596" w:type="dxa"/>
        <w:tblLook w:val="04A0" w:firstRow="1" w:lastRow="0" w:firstColumn="1" w:lastColumn="0" w:noHBand="0" w:noVBand="1"/>
      </w:tblPr>
      <w:tblGrid>
        <w:gridCol w:w="1985"/>
        <w:gridCol w:w="2136"/>
        <w:gridCol w:w="1816"/>
        <w:gridCol w:w="1872"/>
        <w:gridCol w:w="1787"/>
      </w:tblGrid>
      <w:tr w:rsidR="00445864" w:rsidRPr="00AF63D7" w14:paraId="3DCB57CF" w14:textId="77777777" w:rsidTr="006C16AC">
        <w:tc>
          <w:tcPr>
            <w:tcW w:w="1985" w:type="dxa"/>
          </w:tcPr>
          <w:p w14:paraId="7A4D6B66" w14:textId="77777777" w:rsidR="00445864" w:rsidRPr="00AF63D7" w:rsidRDefault="00445864" w:rsidP="00AF63D7">
            <w:pPr>
              <w:rPr>
                <w:b/>
                <w:sz w:val="24"/>
              </w:rPr>
            </w:pPr>
            <w:r w:rsidRPr="00AF63D7">
              <w:rPr>
                <w:b/>
                <w:sz w:val="24"/>
              </w:rPr>
              <w:t>580 GtCO</w:t>
            </w:r>
            <w:r w:rsidRPr="00AF63D7">
              <w:rPr>
                <w:b/>
                <w:sz w:val="24"/>
                <w:vertAlign w:val="subscript"/>
              </w:rPr>
              <w:t>2</w:t>
            </w:r>
          </w:p>
        </w:tc>
        <w:tc>
          <w:tcPr>
            <w:tcW w:w="2136" w:type="dxa"/>
          </w:tcPr>
          <w:p w14:paraId="071E24D0" w14:textId="77777777" w:rsidR="00445864" w:rsidRPr="00AF63D7" w:rsidRDefault="00445864" w:rsidP="00AF63D7">
            <w:pPr>
              <w:rPr>
                <w:b/>
                <w:sz w:val="24"/>
              </w:rPr>
            </w:pPr>
            <w:r w:rsidRPr="00AF63D7">
              <w:rPr>
                <w:b/>
                <w:sz w:val="24"/>
              </w:rPr>
              <w:t>+200 GtCO</w:t>
            </w:r>
            <w:r w:rsidRPr="00AF63D7">
              <w:rPr>
                <w:b/>
                <w:sz w:val="24"/>
                <w:vertAlign w:val="subscript"/>
              </w:rPr>
              <w:t>2</w:t>
            </w:r>
          </w:p>
        </w:tc>
        <w:tc>
          <w:tcPr>
            <w:tcW w:w="1816" w:type="dxa"/>
          </w:tcPr>
          <w:p w14:paraId="2A7703AD" w14:textId="77777777" w:rsidR="00445864" w:rsidRPr="00AF63D7" w:rsidRDefault="00445864" w:rsidP="00AF63D7">
            <w:pPr>
              <w:rPr>
                <w:b/>
                <w:sz w:val="24"/>
              </w:rPr>
            </w:pPr>
            <w:r w:rsidRPr="00AF63D7">
              <w:rPr>
                <w:b/>
                <w:sz w:val="24"/>
              </w:rPr>
              <w:t>-100 GtCO</w:t>
            </w:r>
            <w:r w:rsidRPr="00AF63D7">
              <w:rPr>
                <w:b/>
                <w:sz w:val="24"/>
                <w:vertAlign w:val="subscript"/>
              </w:rPr>
              <w:t>2</w:t>
            </w:r>
          </w:p>
        </w:tc>
        <w:tc>
          <w:tcPr>
            <w:tcW w:w="1872" w:type="dxa"/>
          </w:tcPr>
          <w:p w14:paraId="32D4BB98" w14:textId="77777777" w:rsidR="00445864" w:rsidRPr="00AF63D7" w:rsidRDefault="00445864" w:rsidP="00AF63D7">
            <w:pPr>
              <w:rPr>
                <w:b/>
                <w:sz w:val="24"/>
              </w:rPr>
            </w:pPr>
            <w:r>
              <w:rPr>
                <w:b/>
                <w:sz w:val="24"/>
              </w:rPr>
              <w:t>- 180 GtCO</w:t>
            </w:r>
            <w:r w:rsidRPr="00AF63D7">
              <w:rPr>
                <w:b/>
                <w:sz w:val="24"/>
                <w:vertAlign w:val="subscript"/>
              </w:rPr>
              <w:t>2</w:t>
            </w:r>
          </w:p>
        </w:tc>
        <w:tc>
          <w:tcPr>
            <w:tcW w:w="1787" w:type="dxa"/>
          </w:tcPr>
          <w:p w14:paraId="262D9574" w14:textId="77777777" w:rsidR="00445864" w:rsidRPr="00AF63D7" w:rsidRDefault="00445864" w:rsidP="00AF63D7">
            <w:pPr>
              <w:rPr>
                <w:b/>
                <w:sz w:val="24"/>
              </w:rPr>
            </w:pPr>
            <w:r>
              <w:rPr>
                <w:b/>
                <w:sz w:val="24"/>
              </w:rPr>
              <w:t>= 500 GtCO</w:t>
            </w:r>
            <w:r w:rsidRPr="00AE5343">
              <w:rPr>
                <w:b/>
                <w:sz w:val="24"/>
                <w:vertAlign w:val="subscript"/>
              </w:rPr>
              <w:t>2</w:t>
            </w:r>
          </w:p>
        </w:tc>
      </w:tr>
      <w:tr w:rsidR="00445864" w:rsidRPr="00AF63D7" w14:paraId="161001D8" w14:textId="77777777" w:rsidTr="006C16AC">
        <w:tc>
          <w:tcPr>
            <w:tcW w:w="1985" w:type="dxa"/>
          </w:tcPr>
          <w:p w14:paraId="3CF483C8" w14:textId="481987B5" w:rsidR="00445864" w:rsidRPr="00AF63D7" w:rsidRDefault="00445864" w:rsidP="0030659B">
            <w:pPr>
              <w:jc w:val="left"/>
              <w:rPr>
                <w:sz w:val="18"/>
                <w:szCs w:val="18"/>
              </w:rPr>
            </w:pPr>
            <w:r w:rsidRPr="00AF63D7">
              <w:rPr>
                <w:sz w:val="18"/>
                <w:szCs w:val="18"/>
              </w:rPr>
              <w:t>The remaining carbo</w:t>
            </w:r>
            <w:r w:rsidR="00D26040">
              <w:rPr>
                <w:sz w:val="18"/>
                <w:szCs w:val="18"/>
              </w:rPr>
              <w:t>n</w:t>
            </w:r>
            <w:r w:rsidRPr="00AF63D7">
              <w:rPr>
                <w:sz w:val="18"/>
                <w:szCs w:val="18"/>
              </w:rPr>
              <w:t xml:space="preserve"> budget from Jan 2018 onwards listed in IPCC SR1.5 for a 50% warming to stay below 1.5</w:t>
            </w:r>
            <w:r>
              <w:rPr>
                <w:rFonts w:cstheme="minorHAnsi"/>
                <w:sz w:val="18"/>
                <w:szCs w:val="18"/>
              </w:rPr>
              <w:t>°</w:t>
            </w:r>
            <w:r w:rsidRPr="00AF63D7">
              <w:rPr>
                <w:sz w:val="18"/>
                <w:szCs w:val="18"/>
              </w:rPr>
              <w:t xml:space="preserve">C warming relative to 1850-1900. </w:t>
            </w:r>
          </w:p>
        </w:tc>
        <w:tc>
          <w:tcPr>
            <w:tcW w:w="2136" w:type="dxa"/>
          </w:tcPr>
          <w:p w14:paraId="0B70527F" w14:textId="77777777" w:rsidR="00445864" w:rsidRPr="00AF63D7" w:rsidRDefault="00445864" w:rsidP="0030659B">
            <w:pPr>
              <w:jc w:val="left"/>
              <w:rPr>
                <w:sz w:val="18"/>
                <w:szCs w:val="18"/>
              </w:rPr>
            </w:pPr>
            <w:r w:rsidRPr="00AF63D7">
              <w:rPr>
                <w:sz w:val="18"/>
                <w:szCs w:val="18"/>
              </w:rPr>
              <w:t xml:space="preserve">Enlarging the budget to account for global emissions from 2013 to 2018, so that the remaining budget’s starting year is 2013 </w:t>
            </w:r>
          </w:p>
        </w:tc>
        <w:tc>
          <w:tcPr>
            <w:tcW w:w="1816" w:type="dxa"/>
          </w:tcPr>
          <w:p w14:paraId="6F198682" w14:textId="77777777" w:rsidR="00445864" w:rsidRPr="00AF63D7" w:rsidRDefault="00445864" w:rsidP="0030659B">
            <w:pPr>
              <w:jc w:val="left"/>
              <w:rPr>
                <w:sz w:val="18"/>
                <w:szCs w:val="18"/>
              </w:rPr>
            </w:pPr>
            <w:r w:rsidRPr="00AF63D7">
              <w:rPr>
                <w:sz w:val="18"/>
                <w:szCs w:val="18"/>
              </w:rPr>
              <w:t>Reducing the remaining budget to account for permafrost-related feedbacks that are not represented in the 580 GtCO</w:t>
            </w:r>
            <w:r w:rsidRPr="00AF63D7">
              <w:rPr>
                <w:sz w:val="18"/>
                <w:szCs w:val="18"/>
                <w:vertAlign w:val="subscript"/>
              </w:rPr>
              <w:t>2</w:t>
            </w:r>
            <w:r w:rsidRPr="00AF63D7">
              <w:rPr>
                <w:sz w:val="18"/>
                <w:szCs w:val="18"/>
              </w:rPr>
              <w:t xml:space="preserve"> number. </w:t>
            </w:r>
          </w:p>
        </w:tc>
        <w:tc>
          <w:tcPr>
            <w:tcW w:w="1872" w:type="dxa"/>
          </w:tcPr>
          <w:p w14:paraId="414A2828" w14:textId="77777777" w:rsidR="00445864" w:rsidRPr="00AF63D7" w:rsidRDefault="00445864" w:rsidP="0030659B">
            <w:pPr>
              <w:jc w:val="left"/>
              <w:rPr>
                <w:sz w:val="18"/>
                <w:szCs w:val="18"/>
              </w:rPr>
            </w:pPr>
            <w:r w:rsidRPr="00AF63D7">
              <w:rPr>
                <w:sz w:val="18"/>
                <w:szCs w:val="18"/>
              </w:rPr>
              <w:t>Reducing the remaining budget to account for a 1.5</w:t>
            </w:r>
            <w:r>
              <w:rPr>
                <w:rFonts w:cstheme="minorHAnsi"/>
                <w:sz w:val="18"/>
                <w:szCs w:val="18"/>
              </w:rPr>
              <w:t>°</w:t>
            </w:r>
            <w:r w:rsidRPr="00AF63D7">
              <w:rPr>
                <w:sz w:val="18"/>
                <w:szCs w:val="18"/>
              </w:rPr>
              <w:t xml:space="preserve">C warming target relative to pre-industrial levels, not relative to early-industrial levels. </w:t>
            </w:r>
          </w:p>
        </w:tc>
        <w:tc>
          <w:tcPr>
            <w:tcW w:w="1787" w:type="dxa"/>
          </w:tcPr>
          <w:p w14:paraId="54F354FB" w14:textId="4F6D12E1" w:rsidR="00445864" w:rsidRPr="00AF63D7" w:rsidRDefault="00445864" w:rsidP="0030659B">
            <w:pPr>
              <w:jc w:val="left"/>
              <w:rPr>
                <w:sz w:val="18"/>
                <w:szCs w:val="18"/>
              </w:rPr>
            </w:pPr>
            <w:r w:rsidRPr="00AF63D7">
              <w:rPr>
                <w:sz w:val="18"/>
                <w:szCs w:val="18"/>
              </w:rPr>
              <w:t>The remaining carbo</w:t>
            </w:r>
            <w:r w:rsidR="00D26040">
              <w:rPr>
                <w:sz w:val="18"/>
                <w:szCs w:val="18"/>
              </w:rPr>
              <w:t>n</w:t>
            </w:r>
            <w:r w:rsidRPr="00AF63D7">
              <w:rPr>
                <w:sz w:val="18"/>
                <w:szCs w:val="18"/>
              </w:rPr>
              <w:t xml:space="preserve"> budget from Jan </w:t>
            </w:r>
            <w:r>
              <w:rPr>
                <w:sz w:val="18"/>
                <w:szCs w:val="18"/>
              </w:rPr>
              <w:t>2013</w:t>
            </w:r>
            <w:r w:rsidRPr="00AF63D7">
              <w:rPr>
                <w:sz w:val="18"/>
                <w:szCs w:val="18"/>
              </w:rPr>
              <w:t xml:space="preserve"> onwards for a 50% warming to stay below 1.5</w:t>
            </w:r>
            <w:r>
              <w:rPr>
                <w:rFonts w:cstheme="minorHAnsi"/>
                <w:sz w:val="18"/>
                <w:szCs w:val="18"/>
              </w:rPr>
              <w:t>°</w:t>
            </w:r>
            <w:r w:rsidRPr="00AF63D7">
              <w:rPr>
                <w:sz w:val="18"/>
                <w:szCs w:val="18"/>
              </w:rPr>
              <w:t xml:space="preserve">C warming relative to </w:t>
            </w:r>
            <w:r>
              <w:rPr>
                <w:sz w:val="18"/>
                <w:szCs w:val="18"/>
              </w:rPr>
              <w:t>pre-industrial levels</w:t>
            </w:r>
            <w:r w:rsidRPr="00AF63D7">
              <w:rPr>
                <w:sz w:val="18"/>
                <w:szCs w:val="18"/>
              </w:rPr>
              <w:t>.</w:t>
            </w:r>
          </w:p>
        </w:tc>
      </w:tr>
    </w:tbl>
    <w:p w14:paraId="7F237B14" w14:textId="77777777" w:rsidR="00AF63D7" w:rsidRDefault="008D4FC5" w:rsidP="00AF63D7">
      <w:r>
        <w:rPr>
          <w:noProof/>
        </w:rPr>
        <w:lastRenderedPageBreak/>
        <w:drawing>
          <wp:anchor distT="0" distB="0" distL="114300" distR="114300" simplePos="0" relativeHeight="251658240" behindDoc="0" locked="0" layoutInCell="1" allowOverlap="1" wp14:anchorId="0AC65C09" wp14:editId="76C56F60">
            <wp:simplePos x="0" y="0"/>
            <wp:positionH relativeFrom="margin">
              <wp:posOffset>-47625</wp:posOffset>
            </wp:positionH>
            <wp:positionV relativeFrom="paragraph">
              <wp:posOffset>44450</wp:posOffset>
            </wp:positionV>
            <wp:extent cx="3471545" cy="28759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71545" cy="2875915"/>
                    </a:xfrm>
                    <a:prstGeom prst="rect">
                      <a:avLst/>
                    </a:prstGeom>
                  </pic:spPr>
                </pic:pic>
              </a:graphicData>
            </a:graphic>
            <wp14:sizeRelH relativeFrom="margin">
              <wp14:pctWidth>0</wp14:pctWidth>
            </wp14:sizeRelH>
            <wp14:sizeRelV relativeFrom="margin">
              <wp14:pctHeight>0</wp14:pctHeight>
            </wp14:sizeRelV>
          </wp:anchor>
        </w:drawing>
      </w:r>
    </w:p>
    <w:p w14:paraId="0F35B6A3" w14:textId="77777777" w:rsidR="001723BC" w:rsidRDefault="00445864" w:rsidP="001723BC">
      <w:r>
        <w:t>In comparison to other studies (that vary in relation to their representation of feedbacks, reference levels, non-CO</w:t>
      </w:r>
      <w:r w:rsidRPr="00445864">
        <w:rPr>
          <w:vertAlign w:val="subscript"/>
        </w:rPr>
        <w:t>2</w:t>
      </w:r>
      <w:r>
        <w:t xml:space="preserve"> </w:t>
      </w:r>
      <w:proofErr w:type="spellStart"/>
      <w:r>
        <w:t>forcings</w:t>
      </w:r>
      <w:proofErr w:type="spellEnd"/>
      <w:r>
        <w:t xml:space="preserve">, climate sensitivity assumptions etc.), this adjusted IPCC SR1.5 is close to the headline number IPCC Synthesis report estimate of AR4, as shown in the Figure below. </w:t>
      </w:r>
    </w:p>
    <w:p w14:paraId="1AAC552C" w14:textId="77777777" w:rsidR="008A32EC" w:rsidRPr="00445864" w:rsidRDefault="008A32EC">
      <w:pPr>
        <w:rPr>
          <w:i/>
        </w:rPr>
      </w:pPr>
    </w:p>
    <w:p w14:paraId="604C372C" w14:textId="77777777" w:rsidR="00C223BB" w:rsidRDefault="00C223BB"/>
    <w:p w14:paraId="66ED8A0B" w14:textId="77777777" w:rsidR="00C223BB" w:rsidRDefault="00C223BB">
      <w:r>
        <w:rPr>
          <w:noProof/>
        </w:rPr>
        <mc:AlternateContent>
          <mc:Choice Requires="wps">
            <w:drawing>
              <wp:anchor distT="0" distB="0" distL="114300" distR="114300" simplePos="0" relativeHeight="251660288" behindDoc="0" locked="0" layoutInCell="1" allowOverlap="1" wp14:anchorId="0F4EB93A" wp14:editId="5A24A994">
                <wp:simplePos x="0" y="0"/>
                <wp:positionH relativeFrom="column">
                  <wp:posOffset>109537</wp:posOffset>
                </wp:positionH>
                <wp:positionV relativeFrom="paragraph">
                  <wp:posOffset>571500</wp:posOffset>
                </wp:positionV>
                <wp:extent cx="3143885"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143885" cy="635"/>
                        </a:xfrm>
                        <a:prstGeom prst="rect">
                          <a:avLst/>
                        </a:prstGeom>
                        <a:solidFill>
                          <a:prstClr val="white"/>
                        </a:solidFill>
                        <a:ln>
                          <a:noFill/>
                        </a:ln>
                      </wps:spPr>
                      <wps:txbx>
                        <w:txbxContent>
                          <w:p w14:paraId="401023FE" w14:textId="77777777" w:rsidR="008D4FC5" w:rsidRPr="00472FDD" w:rsidRDefault="008D4FC5" w:rsidP="008D4FC5">
                            <w:pPr>
                              <w:pStyle w:val="Caption"/>
                              <w:rPr>
                                <w:noProof/>
                              </w:rPr>
                            </w:pPr>
                            <w:r>
                              <w:t xml:space="preserve">Figure </w:t>
                            </w:r>
                            <w:r w:rsidR="00361DE5">
                              <w:rPr>
                                <w:noProof/>
                              </w:rPr>
                              <w:fldChar w:fldCharType="begin"/>
                            </w:r>
                            <w:r w:rsidR="00361DE5">
                              <w:rPr>
                                <w:noProof/>
                              </w:rPr>
                              <w:instrText xml:space="preserve"> SEQ Figure \* ARABIC </w:instrText>
                            </w:r>
                            <w:r w:rsidR="00361DE5">
                              <w:rPr>
                                <w:noProof/>
                              </w:rPr>
                              <w:fldChar w:fldCharType="separate"/>
                            </w:r>
                            <w:r w:rsidR="0064716E">
                              <w:rPr>
                                <w:noProof/>
                              </w:rPr>
                              <w:t>1</w:t>
                            </w:r>
                            <w:r w:rsidR="00361DE5">
                              <w:rPr>
                                <w:noProof/>
                              </w:rPr>
                              <w:fldChar w:fldCharType="end"/>
                            </w:r>
                            <w:r>
                              <w:t xml:space="preserve"> – </w:t>
                            </w:r>
                            <w:r>
                              <w:rPr>
                                <w:i w:val="0"/>
                              </w:rPr>
                              <w:t xml:space="preserve">Comparison of the adjusted </w:t>
                            </w:r>
                            <w:r w:rsidRPr="00445864">
                              <w:rPr>
                                <w:i w:val="0"/>
                              </w:rPr>
                              <w:t>IPCC SR1.5</w:t>
                            </w:r>
                            <w:r>
                              <w:rPr>
                                <w:i w:val="0"/>
                              </w:rPr>
                              <w:t xml:space="preserve"> carbon budget</w:t>
                            </w:r>
                            <w:r w:rsidRPr="00445864">
                              <w:rPr>
                                <w:i w:val="0"/>
                              </w:rPr>
                              <w:t xml:space="preserve"> estimate </w:t>
                            </w:r>
                            <w:r>
                              <w:rPr>
                                <w:i w:val="0"/>
                              </w:rPr>
                              <w:t>with</w:t>
                            </w:r>
                            <w:r w:rsidRPr="00445864">
                              <w:rPr>
                                <w:i w:val="0"/>
                              </w:rPr>
                              <w:t xml:space="preserve"> earlier estimates of a global 1.5</w:t>
                            </w:r>
                            <w:r w:rsidRPr="00445864">
                              <w:rPr>
                                <w:rFonts w:cstheme="minorHAnsi"/>
                                <w:i w:val="0"/>
                              </w:rPr>
                              <w:t>°</w:t>
                            </w:r>
                            <w:r w:rsidRPr="00445864">
                              <w:rPr>
                                <w:i w:val="0"/>
                              </w:rPr>
                              <w:t>C (and a 2</w:t>
                            </w:r>
                            <w:r w:rsidRPr="00445864">
                              <w:rPr>
                                <w:rFonts w:cstheme="minorHAnsi"/>
                                <w:i w:val="0"/>
                              </w:rPr>
                              <w:t>°</w:t>
                            </w:r>
                            <w:r w:rsidRPr="00445864">
                              <w:rPr>
                                <w:i w:val="0"/>
                              </w:rPr>
                              <w:t>C) budget.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F4EB93A" id="_x0000_t202" coordsize="21600,21600" o:spt="202" path="m,l,21600r21600,l21600,xe">
                <v:stroke joinstyle="miter"/>
                <v:path gradientshapeok="t" o:connecttype="rect"/>
              </v:shapetype>
              <v:shape id="Text Box 4" o:spid="_x0000_s1026" type="#_x0000_t202" style="position:absolute;left:0;text-align:left;margin-left:8.6pt;margin-top:45pt;width:247.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tKKwIAAF0EAAAOAAAAZHJzL2Uyb0RvYy54bWysVFFv2jAQfp+0/2D5fQQKrSpEqBgV0yTU&#10;VoKpz8ZxiCXH550NCfv1OzsJ3bo9TXsx57vz53zfd2bx0NaGnRV6DTbnk9GYM2UlFNoec/5tv/l0&#10;z5kPwhbCgFU5vyjPH5YfPywaN1c3UIEpFDICsX7euJxXIbh5lnlZqVr4EThlqVgC1iLQFo9ZgaIh&#10;9NpkN+PxXdYAFg5BKu8p+9gV+TLhl6WS4bksvQrM5Jy+LaQV03qIa7ZciPkRhau07D9D/MNX1EJb&#10;uvQK9SiCYCfUf0DVWiJ4KMNIQp1BWWqpEgdiMxm/Y7OrhFOJC4nj3VUm//9g5dP5BZkucj7jzIqa&#10;LNqrNrDP0LJZVKdxfk5NO0dtoaU0uTzkPSUj6bbEOv4SHUZ10vly1TaCSUpOJ7Pp/f0tZ5Jqd9Pb&#10;iJG9HXXowxcFNYtBzpGMS3qK89aHrnVoiTd5MLrYaGPiJhbWBtlZkMlNpYPqwX/rMjb2WoinOsCY&#10;ySK/jkeMQntoe9IHKC7EGaGbGe/kRtNFW+HDi0AaEqJJgx+eaSkNNDmHPuKsAvzxt3zsJ++oyllD&#10;Q5dz//0kUHFmvlpyNU7oEOAQHIbAnuo1EMUJPSknU0gHMJghLBHqV3oPq3gLlYSVdFfOwxCuQzf6&#10;9J6kWq1SE82hE2Frd05G6EHQffsq0PV2BHLxCYZxFPN3rnS9yRe3OgWSOFkWBe1U7HWmGU6m9+8t&#10;PpJf96nr7V9h+RMAAP//AwBQSwMEFAAGAAgAAAAhAM9sl9PfAAAACAEAAA8AAABkcnMvZG93bnJl&#10;di54bWxMj8FOwzAQRO9I/IO1SFwQdZKWAiFOVVVwgEtF6IWbG2/jQLyOYqcNf8/2BMfZGc2+KVaT&#10;68QRh9B6UpDOEhBItTctNQp2Hy+3DyBC1GR05wkV/GCAVXl5Uejc+BO947GKjeASCrlWYGPscylD&#10;bdHpMPM9EnsHPzgdWQ6NNIM+cbnrZJYkS+l0S/zB6h43FuvvanQKtovPrb0ZD89v68V8eN2Nm+VX&#10;Uyl1fTWtn0BEnOJfGM74jA4lM+39SCaIjvV9xkkFjwlPYv8uzeYg9udDCrIs5P8B5S8AAAD//wMA&#10;UEsBAi0AFAAGAAgAAAAhALaDOJL+AAAA4QEAABMAAAAAAAAAAAAAAAAAAAAAAFtDb250ZW50X1R5&#10;cGVzXS54bWxQSwECLQAUAAYACAAAACEAOP0h/9YAAACUAQAACwAAAAAAAAAAAAAAAAAvAQAAX3Jl&#10;bHMvLnJlbHNQSwECLQAUAAYACAAAACEA28mrSisCAABdBAAADgAAAAAAAAAAAAAAAAAuAgAAZHJz&#10;L2Uyb0RvYy54bWxQSwECLQAUAAYACAAAACEAz2yX098AAAAIAQAADwAAAAAAAAAAAAAAAACFBAAA&#10;ZHJzL2Rvd25yZXYueG1sUEsFBgAAAAAEAAQA8wAAAJEFAAAAAA==&#10;" stroked="f">
                <v:textbox style="mso-fit-shape-to-text:t" inset="0,0,0,0">
                  <w:txbxContent>
                    <w:p w14:paraId="401023FE" w14:textId="77777777" w:rsidR="008D4FC5" w:rsidRPr="00472FDD" w:rsidRDefault="008D4FC5" w:rsidP="008D4FC5">
                      <w:pPr>
                        <w:pStyle w:val="Caption"/>
                        <w:rPr>
                          <w:noProof/>
                        </w:rPr>
                      </w:pPr>
                      <w:r>
                        <w:t xml:space="preserve">Figure </w:t>
                      </w:r>
                      <w:r w:rsidR="00361DE5">
                        <w:rPr>
                          <w:noProof/>
                        </w:rPr>
                        <w:fldChar w:fldCharType="begin"/>
                      </w:r>
                      <w:r w:rsidR="00361DE5">
                        <w:rPr>
                          <w:noProof/>
                        </w:rPr>
                        <w:instrText xml:space="preserve"> SEQ Figure \* ARABIC </w:instrText>
                      </w:r>
                      <w:r w:rsidR="00361DE5">
                        <w:rPr>
                          <w:noProof/>
                        </w:rPr>
                        <w:fldChar w:fldCharType="separate"/>
                      </w:r>
                      <w:r w:rsidR="0064716E">
                        <w:rPr>
                          <w:noProof/>
                        </w:rPr>
                        <w:t>1</w:t>
                      </w:r>
                      <w:r w:rsidR="00361DE5">
                        <w:rPr>
                          <w:noProof/>
                        </w:rPr>
                        <w:fldChar w:fldCharType="end"/>
                      </w:r>
                      <w:r>
                        <w:t xml:space="preserve"> – </w:t>
                      </w:r>
                      <w:r>
                        <w:rPr>
                          <w:i w:val="0"/>
                        </w:rPr>
                        <w:t xml:space="preserve">Comparison of the adjusted </w:t>
                      </w:r>
                      <w:r w:rsidRPr="00445864">
                        <w:rPr>
                          <w:i w:val="0"/>
                        </w:rPr>
                        <w:t>IPCC SR1.5</w:t>
                      </w:r>
                      <w:r>
                        <w:rPr>
                          <w:i w:val="0"/>
                        </w:rPr>
                        <w:t xml:space="preserve"> carbon budget</w:t>
                      </w:r>
                      <w:r w:rsidRPr="00445864">
                        <w:rPr>
                          <w:i w:val="0"/>
                        </w:rPr>
                        <w:t xml:space="preserve"> estimate </w:t>
                      </w:r>
                      <w:r>
                        <w:rPr>
                          <w:i w:val="0"/>
                        </w:rPr>
                        <w:t>with</w:t>
                      </w:r>
                      <w:r w:rsidRPr="00445864">
                        <w:rPr>
                          <w:i w:val="0"/>
                        </w:rPr>
                        <w:t xml:space="preserve"> earlier estimates of a global 1.5</w:t>
                      </w:r>
                      <w:r w:rsidRPr="00445864">
                        <w:rPr>
                          <w:rFonts w:cstheme="minorHAnsi"/>
                          <w:i w:val="0"/>
                        </w:rPr>
                        <w:t>°</w:t>
                      </w:r>
                      <w:r w:rsidRPr="00445864">
                        <w:rPr>
                          <w:i w:val="0"/>
                        </w:rPr>
                        <w:t>C (and a 2</w:t>
                      </w:r>
                      <w:r w:rsidRPr="00445864">
                        <w:rPr>
                          <w:rFonts w:cstheme="minorHAnsi"/>
                          <w:i w:val="0"/>
                        </w:rPr>
                        <w:t>°</w:t>
                      </w:r>
                      <w:r w:rsidRPr="00445864">
                        <w:rPr>
                          <w:i w:val="0"/>
                        </w:rPr>
                        <w:t>C) budget.</w:t>
                      </w:r>
                    </w:p>
                  </w:txbxContent>
                </v:textbox>
                <w10:wrap type="square"/>
              </v:shape>
            </w:pict>
          </mc:Fallback>
        </mc:AlternateContent>
      </w:r>
      <w:r>
        <w:br w:type="page"/>
      </w:r>
    </w:p>
    <w:p w14:paraId="41D5B9E3" w14:textId="77777777" w:rsidR="00445864" w:rsidRDefault="00445864"/>
    <w:p w14:paraId="3F4916E7" w14:textId="77777777" w:rsidR="00C85ED9" w:rsidRDefault="00C85ED9" w:rsidP="00C85ED9">
      <w:pPr>
        <w:pStyle w:val="Heading1"/>
      </w:pPr>
      <w:r>
        <w:t xml:space="preserve">Step 2: Turning a remaining carbon budget until 2100 into one until 2050. </w:t>
      </w:r>
    </w:p>
    <w:p w14:paraId="720062CC" w14:textId="77777777" w:rsidR="00C85ED9" w:rsidRDefault="00C85ED9" w:rsidP="00C85ED9">
      <w:r>
        <w:t xml:space="preserve">Regarding the translation of a full century </w:t>
      </w:r>
      <w:r w:rsidRPr="00C85ED9">
        <w:rPr>
          <w:i/>
        </w:rPr>
        <w:t>carbon</w:t>
      </w:r>
      <w:r>
        <w:t xml:space="preserve"> budget into a budget until 2050 only: In the context of 1.5</w:t>
      </w:r>
      <w:r>
        <w:rPr>
          <w:rFonts w:cstheme="minorHAnsi"/>
        </w:rPr>
        <w:t>°</w:t>
      </w:r>
      <w:r>
        <w:t>C degree pathways, that translation happens to be easy, as most 1.5</w:t>
      </w:r>
      <w:r>
        <w:rPr>
          <w:rFonts w:cstheme="minorHAnsi"/>
        </w:rPr>
        <w:t>°</w:t>
      </w:r>
      <w:r>
        <w:t>C compatible pathways tend to show net zero CO</w:t>
      </w:r>
      <w:r w:rsidRPr="00C85ED9">
        <w:rPr>
          <w:vertAlign w:val="subscript"/>
        </w:rPr>
        <w:t>2</w:t>
      </w:r>
      <w:r>
        <w:t xml:space="preserve"> emissions by around 2050. A difference among those pathways is whether the emission trajectories assume higher pre-2050 CO</w:t>
      </w:r>
      <w:r w:rsidRPr="00C85ED9">
        <w:rPr>
          <w:vertAlign w:val="subscript"/>
        </w:rPr>
        <w:t>2</w:t>
      </w:r>
      <w:r>
        <w:t xml:space="preserve"> emissions that are later offset by net negative CO</w:t>
      </w:r>
      <w:r w:rsidRPr="00C85ED9">
        <w:rPr>
          <w:vertAlign w:val="subscript"/>
        </w:rPr>
        <w:t>2</w:t>
      </w:r>
      <w:r>
        <w:t xml:space="preserve"> emissions in the second half of the century. If the reliance on net negative CO</w:t>
      </w:r>
      <w:r w:rsidRPr="006619C8">
        <w:rPr>
          <w:vertAlign w:val="subscript"/>
        </w:rPr>
        <w:t>2</w:t>
      </w:r>
      <w:r>
        <w:t xml:space="preserve"> emissions shall be minimized, then the translation of a 2013-2100 towards a 2013-2050 carbon budget turns out relatively straightforward, as they are just the same. Only if a heavy reliance on net negative CO</w:t>
      </w:r>
      <w:r w:rsidRPr="004D244F">
        <w:rPr>
          <w:vertAlign w:val="subscript"/>
        </w:rPr>
        <w:t>2</w:t>
      </w:r>
      <w:r>
        <w:t xml:space="preserve"> emissions is allowed for, the pre-2050 carbon budget would </w:t>
      </w:r>
      <w:r w:rsidR="004D244F">
        <w:t xml:space="preserve">be correspondingly higher than the full century carbon budget. </w:t>
      </w:r>
    </w:p>
    <w:p w14:paraId="13DB25DF" w14:textId="77777777" w:rsidR="004D244F" w:rsidRDefault="004D244F" w:rsidP="00C85ED9">
      <w:r>
        <w:t xml:space="preserve">In equation form: </w:t>
      </w:r>
    </w:p>
    <w:tbl>
      <w:tblPr>
        <w:tblStyle w:val="TableGrid"/>
        <w:tblW w:w="9073" w:type="dxa"/>
        <w:tblLook w:val="04A0" w:firstRow="1" w:lastRow="0" w:firstColumn="1" w:lastColumn="0" w:noHBand="0" w:noVBand="1"/>
      </w:tblPr>
      <w:tblGrid>
        <w:gridCol w:w="2694"/>
        <w:gridCol w:w="3687"/>
        <w:gridCol w:w="2692"/>
      </w:tblGrid>
      <w:tr w:rsidR="004D244F" w:rsidRPr="00AF63D7" w14:paraId="005BA27C" w14:textId="77777777" w:rsidTr="006619C8">
        <w:tc>
          <w:tcPr>
            <w:tcW w:w="2694" w:type="dxa"/>
          </w:tcPr>
          <w:p w14:paraId="594895EE" w14:textId="77777777" w:rsidR="004D244F" w:rsidRPr="00AF63D7" w:rsidRDefault="004D244F" w:rsidP="00B36FE7">
            <w:pPr>
              <w:rPr>
                <w:b/>
                <w:sz w:val="24"/>
              </w:rPr>
            </w:pPr>
            <w:r w:rsidRPr="00AF63D7">
              <w:rPr>
                <w:b/>
                <w:sz w:val="24"/>
              </w:rPr>
              <w:t>5</w:t>
            </w:r>
            <w:r>
              <w:rPr>
                <w:b/>
                <w:sz w:val="24"/>
              </w:rPr>
              <w:t>0</w:t>
            </w:r>
            <w:r w:rsidRPr="00AF63D7">
              <w:rPr>
                <w:b/>
                <w:sz w:val="24"/>
              </w:rPr>
              <w:t>0 GtCO</w:t>
            </w:r>
            <w:r w:rsidRPr="00AF63D7">
              <w:rPr>
                <w:b/>
                <w:sz w:val="24"/>
                <w:vertAlign w:val="subscript"/>
              </w:rPr>
              <w:t>2</w:t>
            </w:r>
          </w:p>
        </w:tc>
        <w:tc>
          <w:tcPr>
            <w:tcW w:w="3687" w:type="dxa"/>
          </w:tcPr>
          <w:p w14:paraId="50ACB4F6" w14:textId="77777777" w:rsidR="004D244F" w:rsidRPr="00AF63D7" w:rsidRDefault="004D244F" w:rsidP="00B36FE7">
            <w:pPr>
              <w:rPr>
                <w:b/>
                <w:sz w:val="24"/>
              </w:rPr>
            </w:pPr>
            <w:r w:rsidRPr="00AF63D7">
              <w:rPr>
                <w:b/>
                <w:sz w:val="24"/>
              </w:rPr>
              <w:t>+</w:t>
            </w:r>
            <w:r>
              <w:rPr>
                <w:b/>
                <w:sz w:val="24"/>
              </w:rPr>
              <w:t>0</w:t>
            </w:r>
            <w:r w:rsidRPr="00AF63D7">
              <w:rPr>
                <w:b/>
                <w:sz w:val="24"/>
              </w:rPr>
              <w:t xml:space="preserve"> GtCO</w:t>
            </w:r>
            <w:r w:rsidRPr="00AF63D7">
              <w:rPr>
                <w:b/>
                <w:sz w:val="24"/>
                <w:vertAlign w:val="subscript"/>
              </w:rPr>
              <w:t>2</w:t>
            </w:r>
          </w:p>
        </w:tc>
        <w:tc>
          <w:tcPr>
            <w:tcW w:w="2692" w:type="dxa"/>
          </w:tcPr>
          <w:p w14:paraId="0CA7119E" w14:textId="77777777" w:rsidR="004D244F" w:rsidRPr="00AF63D7" w:rsidRDefault="004D244F" w:rsidP="00B36FE7">
            <w:pPr>
              <w:rPr>
                <w:b/>
                <w:sz w:val="24"/>
              </w:rPr>
            </w:pPr>
            <w:r>
              <w:rPr>
                <w:b/>
                <w:sz w:val="24"/>
              </w:rPr>
              <w:t>= 500 GtCO</w:t>
            </w:r>
            <w:r w:rsidRPr="00AE5343">
              <w:rPr>
                <w:b/>
                <w:sz w:val="24"/>
                <w:vertAlign w:val="subscript"/>
              </w:rPr>
              <w:t>2</w:t>
            </w:r>
          </w:p>
        </w:tc>
      </w:tr>
      <w:tr w:rsidR="004D244F" w:rsidRPr="00AF63D7" w14:paraId="0E178438" w14:textId="77777777" w:rsidTr="006619C8">
        <w:tc>
          <w:tcPr>
            <w:tcW w:w="2694" w:type="dxa"/>
          </w:tcPr>
          <w:p w14:paraId="5675187B" w14:textId="267A1E6D" w:rsidR="004D244F" w:rsidRPr="00AF63D7" w:rsidRDefault="004D244F" w:rsidP="0030659B">
            <w:pPr>
              <w:jc w:val="left"/>
              <w:rPr>
                <w:sz w:val="18"/>
                <w:szCs w:val="18"/>
              </w:rPr>
            </w:pPr>
            <w:r w:rsidRPr="00AF63D7">
              <w:rPr>
                <w:sz w:val="18"/>
                <w:szCs w:val="18"/>
              </w:rPr>
              <w:t>The remaining carbo</w:t>
            </w:r>
            <w:r w:rsidR="00D26040">
              <w:rPr>
                <w:sz w:val="18"/>
                <w:szCs w:val="18"/>
              </w:rPr>
              <w:t>n</w:t>
            </w:r>
            <w:r w:rsidRPr="00AF63D7">
              <w:rPr>
                <w:sz w:val="18"/>
                <w:szCs w:val="18"/>
              </w:rPr>
              <w:t xml:space="preserve"> budget from Jan </w:t>
            </w:r>
            <w:r>
              <w:rPr>
                <w:sz w:val="18"/>
                <w:szCs w:val="18"/>
              </w:rPr>
              <w:t>2013</w:t>
            </w:r>
            <w:r w:rsidRPr="00AF63D7">
              <w:rPr>
                <w:sz w:val="18"/>
                <w:szCs w:val="18"/>
              </w:rPr>
              <w:t xml:space="preserve"> </w:t>
            </w:r>
            <w:r w:rsidRPr="004D244F">
              <w:rPr>
                <w:i/>
                <w:sz w:val="18"/>
                <w:szCs w:val="18"/>
              </w:rPr>
              <w:t>until 2100</w:t>
            </w:r>
            <w:r>
              <w:rPr>
                <w:sz w:val="18"/>
                <w:szCs w:val="18"/>
              </w:rPr>
              <w:t xml:space="preserve"> </w:t>
            </w:r>
            <w:r w:rsidRPr="00AF63D7">
              <w:rPr>
                <w:sz w:val="18"/>
                <w:szCs w:val="18"/>
              </w:rPr>
              <w:t>for a 50% warming to stay below 1.5</w:t>
            </w:r>
            <w:r>
              <w:rPr>
                <w:rFonts w:cstheme="minorHAnsi"/>
                <w:sz w:val="18"/>
                <w:szCs w:val="18"/>
              </w:rPr>
              <w:t>°</w:t>
            </w:r>
            <w:r w:rsidRPr="00AF63D7">
              <w:rPr>
                <w:sz w:val="18"/>
                <w:szCs w:val="18"/>
              </w:rPr>
              <w:t xml:space="preserve">C warming relative to </w:t>
            </w:r>
            <w:r>
              <w:rPr>
                <w:sz w:val="18"/>
                <w:szCs w:val="18"/>
              </w:rPr>
              <w:t>pre-industrial levels</w:t>
            </w:r>
            <w:r w:rsidRPr="00AF63D7">
              <w:rPr>
                <w:sz w:val="18"/>
                <w:szCs w:val="18"/>
              </w:rPr>
              <w:t>.</w:t>
            </w:r>
          </w:p>
        </w:tc>
        <w:tc>
          <w:tcPr>
            <w:tcW w:w="3687" w:type="dxa"/>
          </w:tcPr>
          <w:p w14:paraId="653911AE" w14:textId="4A142580" w:rsidR="004D244F" w:rsidRPr="00AF63D7" w:rsidRDefault="004D244F" w:rsidP="0030659B">
            <w:pPr>
              <w:jc w:val="left"/>
              <w:rPr>
                <w:sz w:val="18"/>
                <w:szCs w:val="18"/>
              </w:rPr>
            </w:pPr>
            <w:r>
              <w:rPr>
                <w:sz w:val="18"/>
                <w:szCs w:val="18"/>
              </w:rPr>
              <w:t>Given the shape of 1.5</w:t>
            </w:r>
            <w:r w:rsidR="00F007ED">
              <w:rPr>
                <w:rFonts w:cstheme="minorHAnsi"/>
                <w:sz w:val="18"/>
                <w:szCs w:val="18"/>
              </w:rPr>
              <w:t>°</w:t>
            </w:r>
            <w:r>
              <w:rPr>
                <w:sz w:val="18"/>
                <w:szCs w:val="18"/>
              </w:rPr>
              <w:t>C scenarios assessed in IPCC Special Report on 1.5</w:t>
            </w:r>
            <w:r w:rsidR="00F007ED">
              <w:rPr>
                <w:rFonts w:cstheme="minorHAnsi"/>
                <w:sz w:val="18"/>
                <w:szCs w:val="18"/>
              </w:rPr>
              <w:t>°</w:t>
            </w:r>
            <w:r>
              <w:rPr>
                <w:sz w:val="18"/>
                <w:szCs w:val="18"/>
              </w:rPr>
              <w:t>C, the extra carbon emissions before 2050 depend on the willingness to rely on the assumption of net negative CO</w:t>
            </w:r>
            <w:r w:rsidRPr="006619C8">
              <w:rPr>
                <w:sz w:val="18"/>
                <w:szCs w:val="18"/>
                <w:vertAlign w:val="subscript"/>
              </w:rPr>
              <w:t>2</w:t>
            </w:r>
            <w:r>
              <w:rPr>
                <w:sz w:val="18"/>
                <w:szCs w:val="18"/>
              </w:rPr>
              <w:t xml:space="preserve"> emissions after 2050. If that reliance shall be minimized to zero, then no upward adjustments should be performed. </w:t>
            </w:r>
          </w:p>
        </w:tc>
        <w:tc>
          <w:tcPr>
            <w:tcW w:w="2692" w:type="dxa"/>
          </w:tcPr>
          <w:p w14:paraId="5968371F" w14:textId="35EE0986" w:rsidR="004D244F" w:rsidRPr="00AF63D7" w:rsidRDefault="004D244F" w:rsidP="0030659B">
            <w:pPr>
              <w:jc w:val="left"/>
              <w:rPr>
                <w:sz w:val="18"/>
                <w:szCs w:val="18"/>
              </w:rPr>
            </w:pPr>
            <w:r w:rsidRPr="00AF63D7">
              <w:rPr>
                <w:sz w:val="18"/>
                <w:szCs w:val="18"/>
              </w:rPr>
              <w:t>The remaining carbo</w:t>
            </w:r>
            <w:r w:rsidR="00D26040">
              <w:rPr>
                <w:sz w:val="18"/>
                <w:szCs w:val="18"/>
              </w:rPr>
              <w:t>n</w:t>
            </w:r>
            <w:r w:rsidRPr="00AF63D7">
              <w:rPr>
                <w:sz w:val="18"/>
                <w:szCs w:val="18"/>
              </w:rPr>
              <w:t xml:space="preserve"> budget from Jan </w:t>
            </w:r>
            <w:r>
              <w:rPr>
                <w:sz w:val="18"/>
                <w:szCs w:val="18"/>
              </w:rPr>
              <w:t>2013</w:t>
            </w:r>
            <w:r w:rsidRPr="00AF63D7">
              <w:rPr>
                <w:sz w:val="18"/>
                <w:szCs w:val="18"/>
              </w:rPr>
              <w:t xml:space="preserve"> </w:t>
            </w:r>
            <w:r w:rsidRPr="004D244F">
              <w:rPr>
                <w:i/>
                <w:sz w:val="18"/>
                <w:szCs w:val="18"/>
              </w:rPr>
              <w:t>until 2050</w:t>
            </w:r>
            <w:r w:rsidRPr="00AF63D7">
              <w:rPr>
                <w:sz w:val="18"/>
                <w:szCs w:val="18"/>
              </w:rPr>
              <w:t xml:space="preserve"> for a 50% warming to stay below 1.5</w:t>
            </w:r>
            <w:r>
              <w:rPr>
                <w:rFonts w:cstheme="minorHAnsi"/>
                <w:sz w:val="18"/>
                <w:szCs w:val="18"/>
              </w:rPr>
              <w:t>°</w:t>
            </w:r>
            <w:r w:rsidRPr="00AF63D7">
              <w:rPr>
                <w:sz w:val="18"/>
                <w:szCs w:val="18"/>
              </w:rPr>
              <w:t xml:space="preserve">C warming relative to </w:t>
            </w:r>
            <w:r>
              <w:rPr>
                <w:sz w:val="18"/>
                <w:szCs w:val="18"/>
              </w:rPr>
              <w:t>pre-industrial levels</w:t>
            </w:r>
            <w:r w:rsidRPr="00AF63D7">
              <w:rPr>
                <w:sz w:val="18"/>
                <w:szCs w:val="18"/>
              </w:rPr>
              <w:t>.</w:t>
            </w:r>
          </w:p>
        </w:tc>
      </w:tr>
    </w:tbl>
    <w:p w14:paraId="373817A9" w14:textId="77777777" w:rsidR="00A80DED" w:rsidRPr="00A80DED" w:rsidRDefault="00A80DED" w:rsidP="00A80DED"/>
    <w:p w14:paraId="7DF07486" w14:textId="77777777" w:rsidR="00517DC5" w:rsidRDefault="00517DC5" w:rsidP="00517DC5">
      <w:pPr>
        <w:pStyle w:val="Heading1"/>
      </w:pPr>
      <w:r>
        <w:t xml:space="preserve">Step </w:t>
      </w:r>
      <w:r w:rsidR="006E7E45">
        <w:t>3</w:t>
      </w:r>
      <w:r>
        <w:t xml:space="preserve">: </w:t>
      </w:r>
      <w:r w:rsidR="00FC16B3">
        <w:t>Turning a global carbon budget into a</w:t>
      </w:r>
      <w:r>
        <w:t xml:space="preserve"> GHG emission budget. </w:t>
      </w:r>
    </w:p>
    <w:p w14:paraId="0CB3397C" w14:textId="72F1E983" w:rsidR="00C85ED9" w:rsidRDefault="00517DC5">
      <w:r>
        <w:t xml:space="preserve">The remaining </w:t>
      </w:r>
      <w:r w:rsidRPr="00FC16B3">
        <w:rPr>
          <w:i/>
        </w:rPr>
        <w:t>carbon</w:t>
      </w:r>
      <w:r>
        <w:t xml:space="preserve"> budget is useful as it squarely addresses the most important anthropogenic greenhouse gas emission, namely CO</w:t>
      </w:r>
      <w:r w:rsidRPr="00517DC5">
        <w:rPr>
          <w:vertAlign w:val="subscript"/>
        </w:rPr>
        <w:t>2</w:t>
      </w:r>
      <w:r>
        <w:t xml:space="preserve">. In a policy context, </w:t>
      </w:r>
      <w:proofErr w:type="gramStart"/>
      <w:r>
        <w:t>taking into account</w:t>
      </w:r>
      <w:proofErr w:type="gramEnd"/>
      <w:r>
        <w:t xml:space="preserve"> other greenhouse gases is likewise important </w:t>
      </w:r>
      <w:r w:rsidR="00FC16B3">
        <w:t xml:space="preserve">however </w:t>
      </w:r>
      <w:r>
        <w:t>as methane and N</w:t>
      </w:r>
      <w:r w:rsidRPr="00FC16B3">
        <w:rPr>
          <w:vertAlign w:val="subscript"/>
        </w:rPr>
        <w:t>2</w:t>
      </w:r>
      <w:r>
        <w:t>O emissions as well as industrial gas emissions also contribute to global warming</w:t>
      </w:r>
      <w:r w:rsidR="00A80DED">
        <w:t xml:space="preserve"> and are part of emission reduction targets across the world</w:t>
      </w:r>
      <w:r>
        <w:t xml:space="preserve">. Hence, we here translate the remaining </w:t>
      </w:r>
      <w:r w:rsidRPr="00C85ED9">
        <w:rPr>
          <w:i/>
        </w:rPr>
        <w:t>carbon</w:t>
      </w:r>
      <w:r>
        <w:t xml:space="preserve"> budget into a remaining </w:t>
      </w:r>
      <w:r w:rsidRPr="00C85ED9">
        <w:rPr>
          <w:i/>
        </w:rPr>
        <w:t>emission</w:t>
      </w:r>
      <w:r w:rsidR="00D175FE">
        <w:rPr>
          <w:i/>
        </w:rPr>
        <w:t>s</w:t>
      </w:r>
      <w:r>
        <w:t xml:space="preserve"> budget. While cumulative greenhouse gas emissions have no strict 1:1 relationship with maximal temperature levels (as carbon emissions do), this metric of a remaining </w:t>
      </w:r>
      <w:r w:rsidRPr="00C85ED9">
        <w:rPr>
          <w:i/>
        </w:rPr>
        <w:t>emission</w:t>
      </w:r>
      <w:r w:rsidR="00D175FE">
        <w:rPr>
          <w:i/>
        </w:rPr>
        <w:t>s</w:t>
      </w:r>
      <w:r>
        <w:t xml:space="preserve"> budget is nevertheless appropriate for the specific context here. </w:t>
      </w:r>
    </w:p>
    <w:p w14:paraId="52B106D0" w14:textId="77777777" w:rsidR="00C85ED9" w:rsidRDefault="00517DC5">
      <w:r w:rsidRPr="00C85ED9">
        <w:rPr>
          <w:i/>
        </w:rPr>
        <w:t>For one</w:t>
      </w:r>
      <w:r>
        <w:t>, the timeframe over which the non-CO</w:t>
      </w:r>
      <w:r w:rsidRPr="00C85ED9">
        <w:rPr>
          <w:vertAlign w:val="subscript"/>
        </w:rPr>
        <w:t>2</w:t>
      </w:r>
      <w:r>
        <w:t xml:space="preserve"> emissions are considered is limited until 2050. Thus, there are limited choices regarding “early” or “late” non-CO</w:t>
      </w:r>
      <w:r w:rsidRPr="00C85ED9">
        <w:rPr>
          <w:vertAlign w:val="subscript"/>
        </w:rPr>
        <w:t>2</w:t>
      </w:r>
      <w:r>
        <w:t xml:space="preserve"> emission profiles as basically the trajectories between today’s high emissions and future low emissions are </w:t>
      </w:r>
      <w:r w:rsidR="00FC16B3">
        <w:t>limited.</w:t>
      </w:r>
      <w:r w:rsidR="00C85ED9">
        <w:t xml:space="preserve"> </w:t>
      </w:r>
    </w:p>
    <w:p w14:paraId="6C5F3F50" w14:textId="77777777" w:rsidR="00C85ED9" w:rsidRDefault="00C85ED9">
      <w:r w:rsidRPr="00C85ED9">
        <w:rPr>
          <w:i/>
        </w:rPr>
        <w:t>Secondly</w:t>
      </w:r>
      <w:r>
        <w:t xml:space="preserve">, this relative short timeframe is roughly comparable to the greenhouse gases’ lifetimes. Methane (also </w:t>
      </w:r>
      <w:proofErr w:type="gramStart"/>
      <w:r>
        <w:t>taking into account</w:t>
      </w:r>
      <w:proofErr w:type="gramEnd"/>
      <w:r>
        <w:t xml:space="preserve"> any induced carbon cycle feedbacks) that is emitted towards the beginning of the budget period has comparable warming effects to methane that is emitted towards 2050 in terms of second half of 21</w:t>
      </w:r>
      <w:r w:rsidRPr="00C85ED9">
        <w:rPr>
          <w:vertAlign w:val="superscript"/>
        </w:rPr>
        <w:t>st</w:t>
      </w:r>
      <w:r>
        <w:t xml:space="preserve"> century temperatures. </w:t>
      </w:r>
      <w:r w:rsidR="00FC16B3">
        <w:t xml:space="preserve">This adds robustness to the derived emission budget. </w:t>
      </w:r>
    </w:p>
    <w:p w14:paraId="1D0CD388" w14:textId="77777777" w:rsidR="00517DC5" w:rsidRDefault="00C85ED9">
      <w:r w:rsidRPr="00C85ED9">
        <w:rPr>
          <w:i/>
        </w:rPr>
        <w:t>Thirdly</w:t>
      </w:r>
      <w:r w:rsidR="00FC16B3">
        <w:t>, we use a large set of global integrated assessment model results to derive the typical share of non-CO</w:t>
      </w:r>
      <w:r w:rsidR="00FC16B3" w:rsidRPr="00C85ED9">
        <w:rPr>
          <w:vertAlign w:val="subscript"/>
        </w:rPr>
        <w:t>2</w:t>
      </w:r>
      <w:r w:rsidR="00FC16B3">
        <w:t xml:space="preserve"> emissions for any given remaining carbon budget. As can be seen from that analysis, the scope of variation in cumulative non-CO</w:t>
      </w:r>
      <w:r w:rsidR="00FC16B3" w:rsidRPr="00C85ED9">
        <w:rPr>
          <w:vertAlign w:val="subscript"/>
        </w:rPr>
        <w:t>2</w:t>
      </w:r>
      <w:r w:rsidR="00FC16B3">
        <w:t xml:space="preserve"> emissions magnitudes is limited. With both the shape and magnitude variations of non-CO</w:t>
      </w:r>
      <w:r w:rsidR="00FC16B3" w:rsidRPr="00C85ED9">
        <w:rPr>
          <w:vertAlign w:val="subscript"/>
        </w:rPr>
        <w:t>2</w:t>
      </w:r>
      <w:r w:rsidR="00FC16B3">
        <w:t xml:space="preserve"> emissions limited, an overall remaining emission budget is a useful, robust and highly policy-relevant indicator. </w:t>
      </w:r>
    </w:p>
    <w:p w14:paraId="101BB870" w14:textId="77777777" w:rsidR="00C808D4" w:rsidRDefault="00C808D4"/>
    <w:p w14:paraId="127F64BA" w14:textId="77777777" w:rsidR="008D4FC5" w:rsidRDefault="008D4FC5" w:rsidP="008D4FC5">
      <w:r>
        <w:t xml:space="preserve">In equation form: </w:t>
      </w:r>
    </w:p>
    <w:tbl>
      <w:tblPr>
        <w:tblStyle w:val="TableGrid"/>
        <w:tblW w:w="9073" w:type="dxa"/>
        <w:tblLook w:val="04A0" w:firstRow="1" w:lastRow="0" w:firstColumn="1" w:lastColumn="0" w:noHBand="0" w:noVBand="1"/>
      </w:tblPr>
      <w:tblGrid>
        <w:gridCol w:w="2694"/>
        <w:gridCol w:w="3687"/>
        <w:gridCol w:w="2692"/>
      </w:tblGrid>
      <w:tr w:rsidR="008D4FC5" w:rsidRPr="00AF63D7" w14:paraId="383ED789" w14:textId="77777777" w:rsidTr="00C95106">
        <w:tc>
          <w:tcPr>
            <w:tcW w:w="2694" w:type="dxa"/>
          </w:tcPr>
          <w:p w14:paraId="3C47E459" w14:textId="77777777" w:rsidR="008D4FC5" w:rsidRPr="00AF63D7" w:rsidRDefault="008D4FC5" w:rsidP="00B36FE7">
            <w:pPr>
              <w:rPr>
                <w:b/>
                <w:sz w:val="24"/>
              </w:rPr>
            </w:pPr>
            <w:r w:rsidRPr="00AF63D7">
              <w:rPr>
                <w:b/>
                <w:sz w:val="24"/>
              </w:rPr>
              <w:t>5</w:t>
            </w:r>
            <w:r>
              <w:rPr>
                <w:b/>
                <w:sz w:val="24"/>
              </w:rPr>
              <w:t>0</w:t>
            </w:r>
            <w:r w:rsidRPr="00AF63D7">
              <w:rPr>
                <w:b/>
                <w:sz w:val="24"/>
              </w:rPr>
              <w:t>0 GtCO</w:t>
            </w:r>
            <w:r w:rsidRPr="00AF63D7">
              <w:rPr>
                <w:b/>
                <w:sz w:val="24"/>
                <w:vertAlign w:val="subscript"/>
              </w:rPr>
              <w:t>2</w:t>
            </w:r>
          </w:p>
        </w:tc>
        <w:tc>
          <w:tcPr>
            <w:tcW w:w="3687" w:type="dxa"/>
          </w:tcPr>
          <w:p w14:paraId="2D100DB0" w14:textId="0D4BA161" w:rsidR="008D4FC5" w:rsidRPr="00AF63D7" w:rsidRDefault="008D4FC5" w:rsidP="00B36FE7">
            <w:pPr>
              <w:rPr>
                <w:b/>
                <w:sz w:val="24"/>
              </w:rPr>
            </w:pPr>
            <w:r w:rsidRPr="00AF63D7">
              <w:rPr>
                <w:b/>
                <w:sz w:val="24"/>
              </w:rPr>
              <w:t>+</w:t>
            </w:r>
            <w:r w:rsidR="0025678B">
              <w:rPr>
                <w:b/>
                <w:sz w:val="24"/>
              </w:rPr>
              <w:t>300</w:t>
            </w:r>
            <w:r w:rsidRPr="00AF63D7">
              <w:rPr>
                <w:b/>
                <w:sz w:val="24"/>
              </w:rPr>
              <w:t xml:space="preserve"> GtCO</w:t>
            </w:r>
            <w:r w:rsidRPr="00AF63D7">
              <w:rPr>
                <w:b/>
                <w:sz w:val="24"/>
                <w:vertAlign w:val="subscript"/>
              </w:rPr>
              <w:t>2</w:t>
            </w:r>
            <w:r>
              <w:rPr>
                <w:b/>
                <w:sz w:val="24"/>
                <w:vertAlign w:val="subscript"/>
              </w:rPr>
              <w:t>eq</w:t>
            </w:r>
          </w:p>
        </w:tc>
        <w:tc>
          <w:tcPr>
            <w:tcW w:w="2692" w:type="dxa"/>
          </w:tcPr>
          <w:p w14:paraId="5BE9ED3B" w14:textId="297AC900" w:rsidR="008D4FC5" w:rsidRPr="00AF63D7" w:rsidRDefault="008D4FC5" w:rsidP="00B36FE7">
            <w:pPr>
              <w:rPr>
                <w:b/>
                <w:sz w:val="24"/>
              </w:rPr>
            </w:pPr>
            <w:r>
              <w:rPr>
                <w:b/>
                <w:sz w:val="24"/>
              </w:rPr>
              <w:t xml:space="preserve">= </w:t>
            </w:r>
            <w:r w:rsidR="0025678B">
              <w:rPr>
                <w:b/>
                <w:sz w:val="24"/>
              </w:rPr>
              <w:t>800</w:t>
            </w:r>
            <w:r>
              <w:rPr>
                <w:b/>
                <w:sz w:val="24"/>
              </w:rPr>
              <w:t xml:space="preserve"> GtCO</w:t>
            </w:r>
            <w:r w:rsidRPr="00AE5343">
              <w:rPr>
                <w:b/>
                <w:sz w:val="24"/>
                <w:vertAlign w:val="subscript"/>
              </w:rPr>
              <w:t>2</w:t>
            </w:r>
            <w:r>
              <w:rPr>
                <w:b/>
                <w:sz w:val="24"/>
                <w:vertAlign w:val="subscript"/>
              </w:rPr>
              <w:t>eq</w:t>
            </w:r>
          </w:p>
        </w:tc>
      </w:tr>
      <w:tr w:rsidR="008D4FC5" w:rsidRPr="00AF63D7" w14:paraId="5FEE8428" w14:textId="77777777" w:rsidTr="00C95106">
        <w:tc>
          <w:tcPr>
            <w:tcW w:w="2694" w:type="dxa"/>
          </w:tcPr>
          <w:p w14:paraId="5DDF7A36" w14:textId="77777777" w:rsidR="008D4FC5" w:rsidRPr="00AF63D7" w:rsidRDefault="008D4FC5" w:rsidP="0030659B">
            <w:pPr>
              <w:jc w:val="left"/>
              <w:rPr>
                <w:sz w:val="18"/>
                <w:szCs w:val="18"/>
              </w:rPr>
            </w:pPr>
            <w:r w:rsidRPr="00AF63D7">
              <w:rPr>
                <w:sz w:val="18"/>
                <w:szCs w:val="18"/>
              </w:rPr>
              <w:t>The remaining carbo</w:t>
            </w:r>
            <w:r w:rsidR="004525C8">
              <w:rPr>
                <w:sz w:val="18"/>
                <w:szCs w:val="18"/>
              </w:rPr>
              <w:t>n</w:t>
            </w:r>
            <w:r w:rsidRPr="00AF63D7">
              <w:rPr>
                <w:sz w:val="18"/>
                <w:szCs w:val="18"/>
              </w:rPr>
              <w:t xml:space="preserve"> budget from Jan </w:t>
            </w:r>
            <w:r>
              <w:rPr>
                <w:sz w:val="18"/>
                <w:szCs w:val="18"/>
              </w:rPr>
              <w:t>2013</w:t>
            </w:r>
            <w:r w:rsidRPr="00AF63D7">
              <w:rPr>
                <w:sz w:val="18"/>
                <w:szCs w:val="18"/>
              </w:rPr>
              <w:t xml:space="preserve"> </w:t>
            </w:r>
            <w:r w:rsidRPr="004D244F">
              <w:rPr>
                <w:i/>
                <w:sz w:val="18"/>
                <w:szCs w:val="18"/>
              </w:rPr>
              <w:t xml:space="preserve">until </w:t>
            </w:r>
            <w:r>
              <w:rPr>
                <w:i/>
                <w:sz w:val="18"/>
                <w:szCs w:val="18"/>
              </w:rPr>
              <w:t>2050</w:t>
            </w:r>
            <w:r>
              <w:rPr>
                <w:sz w:val="18"/>
                <w:szCs w:val="18"/>
              </w:rPr>
              <w:t xml:space="preserve"> </w:t>
            </w:r>
            <w:r w:rsidRPr="00AF63D7">
              <w:rPr>
                <w:sz w:val="18"/>
                <w:szCs w:val="18"/>
              </w:rPr>
              <w:t>for a 50% warming to stay below 1.5</w:t>
            </w:r>
            <w:r>
              <w:rPr>
                <w:rFonts w:cstheme="minorHAnsi"/>
                <w:sz w:val="18"/>
                <w:szCs w:val="18"/>
              </w:rPr>
              <w:t>°</w:t>
            </w:r>
            <w:r w:rsidRPr="00AF63D7">
              <w:rPr>
                <w:sz w:val="18"/>
                <w:szCs w:val="18"/>
              </w:rPr>
              <w:t xml:space="preserve">C warming relative to </w:t>
            </w:r>
            <w:r>
              <w:rPr>
                <w:sz w:val="18"/>
                <w:szCs w:val="18"/>
              </w:rPr>
              <w:t xml:space="preserve">pre-industrial levels as derived above. </w:t>
            </w:r>
          </w:p>
        </w:tc>
        <w:tc>
          <w:tcPr>
            <w:tcW w:w="3687" w:type="dxa"/>
          </w:tcPr>
          <w:p w14:paraId="6160427B" w14:textId="667DD8C5" w:rsidR="008D4FC5" w:rsidRPr="00AF63D7" w:rsidRDefault="008D4FC5" w:rsidP="0030659B">
            <w:pPr>
              <w:jc w:val="left"/>
              <w:rPr>
                <w:sz w:val="18"/>
                <w:szCs w:val="18"/>
              </w:rPr>
            </w:pPr>
            <w:r>
              <w:rPr>
                <w:sz w:val="18"/>
                <w:szCs w:val="18"/>
              </w:rPr>
              <w:t>Additional non-CO</w:t>
            </w:r>
            <w:r w:rsidRPr="008D4FC5">
              <w:rPr>
                <w:sz w:val="18"/>
                <w:szCs w:val="18"/>
                <w:vertAlign w:val="subscript"/>
              </w:rPr>
              <w:t>2</w:t>
            </w:r>
            <w:r>
              <w:rPr>
                <w:sz w:val="18"/>
                <w:szCs w:val="18"/>
              </w:rPr>
              <w:t xml:space="preserve"> greenhouse gas emissions until 2050 corresponding to that 1.5</w:t>
            </w:r>
            <w:r>
              <w:rPr>
                <w:rFonts w:cstheme="minorHAnsi"/>
                <w:sz w:val="18"/>
                <w:szCs w:val="18"/>
              </w:rPr>
              <w:t>°</w:t>
            </w:r>
            <w:r>
              <w:rPr>
                <w:sz w:val="18"/>
                <w:szCs w:val="18"/>
              </w:rPr>
              <w:t xml:space="preserve">C carbon budget when applied up to 2050 on the basis </w:t>
            </w:r>
            <w:proofErr w:type="gramStart"/>
            <w:r>
              <w:rPr>
                <w:sz w:val="18"/>
                <w:szCs w:val="18"/>
              </w:rPr>
              <w:t xml:space="preserve">of </w:t>
            </w:r>
            <w:r w:rsidR="0025678B">
              <w:rPr>
                <w:sz w:val="18"/>
                <w:szCs w:val="18"/>
              </w:rPr>
              <w:t xml:space="preserve"> 411</w:t>
            </w:r>
            <w:proofErr w:type="gramEnd"/>
            <w:r w:rsidR="0025678B">
              <w:rPr>
                <w:sz w:val="18"/>
                <w:szCs w:val="18"/>
              </w:rPr>
              <w:t xml:space="preserve"> scenarios from the Special Report on 1.5</w:t>
            </w:r>
            <w:r w:rsidR="0025678B">
              <w:rPr>
                <w:rFonts w:cstheme="minorHAnsi"/>
                <w:sz w:val="18"/>
                <w:szCs w:val="18"/>
              </w:rPr>
              <w:t>°</w:t>
            </w:r>
            <w:r w:rsidR="0025678B">
              <w:rPr>
                <w:sz w:val="18"/>
                <w:szCs w:val="18"/>
              </w:rPr>
              <w:t>C warming. Uncertainty of +- 100 GtCO</w:t>
            </w:r>
            <w:r w:rsidR="0025678B" w:rsidRPr="00C95106">
              <w:rPr>
                <w:sz w:val="18"/>
                <w:szCs w:val="18"/>
                <w:vertAlign w:val="subscript"/>
              </w:rPr>
              <w:t>2</w:t>
            </w:r>
            <w:r w:rsidR="0025678B">
              <w:rPr>
                <w:sz w:val="18"/>
                <w:szCs w:val="18"/>
              </w:rPr>
              <w:t>eq (see Figure 2 below)</w:t>
            </w:r>
            <w:r>
              <w:rPr>
                <w:sz w:val="18"/>
                <w:szCs w:val="18"/>
              </w:rPr>
              <w:t xml:space="preserve">. </w:t>
            </w:r>
          </w:p>
        </w:tc>
        <w:tc>
          <w:tcPr>
            <w:tcW w:w="2692" w:type="dxa"/>
          </w:tcPr>
          <w:p w14:paraId="44E352DB" w14:textId="77777777" w:rsidR="008D4FC5" w:rsidRPr="00AF63D7" w:rsidRDefault="008D4FC5" w:rsidP="0030659B">
            <w:pPr>
              <w:jc w:val="left"/>
              <w:rPr>
                <w:sz w:val="18"/>
                <w:szCs w:val="18"/>
              </w:rPr>
            </w:pPr>
            <w:r w:rsidRPr="00AF63D7">
              <w:rPr>
                <w:sz w:val="18"/>
                <w:szCs w:val="18"/>
              </w:rPr>
              <w:t xml:space="preserve">The remaining </w:t>
            </w:r>
            <w:r w:rsidRPr="008D4FC5">
              <w:rPr>
                <w:i/>
                <w:sz w:val="18"/>
                <w:szCs w:val="18"/>
              </w:rPr>
              <w:t>emission</w:t>
            </w:r>
            <w:r w:rsidRPr="00AF63D7">
              <w:rPr>
                <w:sz w:val="18"/>
                <w:szCs w:val="18"/>
              </w:rPr>
              <w:t xml:space="preserve"> budget from Jan </w:t>
            </w:r>
            <w:r>
              <w:rPr>
                <w:sz w:val="18"/>
                <w:szCs w:val="18"/>
              </w:rPr>
              <w:t>2013</w:t>
            </w:r>
            <w:r w:rsidRPr="00AF63D7">
              <w:rPr>
                <w:sz w:val="18"/>
                <w:szCs w:val="18"/>
              </w:rPr>
              <w:t xml:space="preserve"> </w:t>
            </w:r>
            <w:r w:rsidRPr="004D244F">
              <w:rPr>
                <w:i/>
                <w:sz w:val="18"/>
                <w:szCs w:val="18"/>
              </w:rPr>
              <w:t>until 2050</w:t>
            </w:r>
            <w:r w:rsidRPr="00AF63D7">
              <w:rPr>
                <w:sz w:val="18"/>
                <w:szCs w:val="18"/>
              </w:rPr>
              <w:t xml:space="preserve"> for a 50% warming to stay below 1.5</w:t>
            </w:r>
            <w:r>
              <w:rPr>
                <w:rFonts w:cstheme="minorHAnsi"/>
                <w:sz w:val="18"/>
                <w:szCs w:val="18"/>
              </w:rPr>
              <w:t>°</w:t>
            </w:r>
            <w:r w:rsidRPr="00AF63D7">
              <w:rPr>
                <w:sz w:val="18"/>
                <w:szCs w:val="18"/>
              </w:rPr>
              <w:t xml:space="preserve">C warming relative to </w:t>
            </w:r>
            <w:r>
              <w:rPr>
                <w:sz w:val="18"/>
                <w:szCs w:val="18"/>
              </w:rPr>
              <w:t>pre-industrial levels</w:t>
            </w:r>
            <w:r w:rsidRPr="00AF63D7">
              <w:rPr>
                <w:sz w:val="18"/>
                <w:szCs w:val="18"/>
              </w:rPr>
              <w:t>.</w:t>
            </w:r>
          </w:p>
        </w:tc>
      </w:tr>
    </w:tbl>
    <w:p w14:paraId="5C50E23F" w14:textId="77777777" w:rsidR="008D4FC5" w:rsidRDefault="008D4FC5"/>
    <w:p w14:paraId="2604846C" w14:textId="04F1DA42" w:rsidR="008D4FC5" w:rsidRDefault="0025678B" w:rsidP="008D4FC5">
      <w:pPr>
        <w:keepNext/>
      </w:pPr>
      <w:r>
        <w:rPr>
          <w:noProof/>
        </w:rPr>
        <w:drawing>
          <wp:inline distT="0" distB="0" distL="0" distR="0" wp14:anchorId="41BAB6A5" wp14:editId="0ED045CE">
            <wp:extent cx="4391025" cy="5335295"/>
            <wp:effectExtent l="0" t="0" r="0" b="0"/>
            <wp:docPr id="3" name="Picture 3" descr="A picture containing screensho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B_CO2versusGHG_NEWversionSR1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1691" cy="5336104"/>
                    </a:xfrm>
                    <a:prstGeom prst="rect">
                      <a:avLst/>
                    </a:prstGeom>
                  </pic:spPr>
                </pic:pic>
              </a:graphicData>
            </a:graphic>
          </wp:inline>
        </w:drawing>
      </w:r>
    </w:p>
    <w:p w14:paraId="1658EE8A" w14:textId="0324E6E1" w:rsidR="00C808D4" w:rsidRDefault="008D4FC5" w:rsidP="008D4FC5">
      <w:pPr>
        <w:pStyle w:val="Caption"/>
        <w:jc w:val="left"/>
      </w:pPr>
      <w:r>
        <w:t xml:space="preserve">Figure </w:t>
      </w:r>
      <w:r w:rsidR="00361DE5">
        <w:rPr>
          <w:noProof/>
        </w:rPr>
        <w:fldChar w:fldCharType="begin"/>
      </w:r>
      <w:r w:rsidR="00361DE5">
        <w:rPr>
          <w:noProof/>
        </w:rPr>
        <w:instrText xml:space="preserve"> SEQ Figure \* ARABIC </w:instrText>
      </w:r>
      <w:r w:rsidR="00361DE5">
        <w:rPr>
          <w:noProof/>
        </w:rPr>
        <w:fldChar w:fldCharType="separate"/>
      </w:r>
      <w:r w:rsidR="0064716E">
        <w:rPr>
          <w:noProof/>
        </w:rPr>
        <w:t>2</w:t>
      </w:r>
      <w:r w:rsidR="00361DE5">
        <w:rPr>
          <w:noProof/>
        </w:rPr>
        <w:fldChar w:fldCharType="end"/>
      </w:r>
      <w:r>
        <w:t xml:space="preserve"> - Analysis of CO</w:t>
      </w:r>
      <w:r w:rsidRPr="008D4FC5">
        <w:rPr>
          <w:vertAlign w:val="subscript"/>
        </w:rPr>
        <w:t>2</w:t>
      </w:r>
      <w:r>
        <w:t xml:space="preserve"> versus total cumulative greenhouse gas emissions from 2013 to 2050.</w:t>
      </w:r>
      <w:r w:rsidR="0025678B">
        <w:t xml:space="preserve"> As shown in the figure, there is a close relationship between cumulative CO2 and cumulative greenhouse gas emissions. Here, 411 scenarios from the IPCC Special Report on 1.5C scenario database are assessed. The upper plot shows the individual scenarios (blue circles), the 1:1 relationship between the two </w:t>
      </w:r>
      <w:proofErr w:type="gramStart"/>
      <w:r w:rsidR="0025678B">
        <w:t>axis</w:t>
      </w:r>
      <w:proofErr w:type="gramEnd"/>
      <w:r w:rsidR="0025678B">
        <w:t xml:space="preserve"> if all non-CO2 emissions were zero (blue triangle) and the linear fit through the data points. The lower panel indicates the uncertainty around the linear fit, indicating a range in between +- 100 GtCO2eq over the investigated timeframe from 2013 to 2050. Non-CO2 greenhouse gases have been weighted by the GWP-100 metric, as used by most countries as part of their NDC pledges and Kyoto Protocol CP2 targets. </w:t>
      </w:r>
    </w:p>
    <w:p w14:paraId="6CC3ECA9" w14:textId="77777777" w:rsidR="00445864" w:rsidRDefault="00445864"/>
    <w:p w14:paraId="335B0901" w14:textId="77777777" w:rsidR="00EC58C8" w:rsidRDefault="00EC58C8" w:rsidP="00EC58C8">
      <w:pPr>
        <w:pStyle w:val="Heading1"/>
      </w:pPr>
      <w:r>
        <w:lastRenderedPageBreak/>
        <w:t xml:space="preserve">Step 4: Deriving the Australian emission budget. </w:t>
      </w:r>
    </w:p>
    <w:p w14:paraId="46753DB6" w14:textId="7A7FD553" w:rsidR="00EC58C8" w:rsidRDefault="009C1A23">
      <w:r>
        <w:t xml:space="preserve">There are </w:t>
      </w:r>
      <w:proofErr w:type="gramStart"/>
      <w:r>
        <w:t>a number of</w:t>
      </w:r>
      <w:proofErr w:type="gramEnd"/>
      <w:r>
        <w:t xml:space="preserve"> ways to derive an</w:t>
      </w:r>
      <w:r w:rsidR="00EC58C8">
        <w:t xml:space="preserve"> Australian share of the global remaining emission budget</w:t>
      </w:r>
      <w:r>
        <w:t>. A discussion of different approaches to determining Australia’s “fair share” of a global budget can be found in the analysis on the 2</w:t>
      </w:r>
      <w:r>
        <w:rPr>
          <w:rFonts w:cstheme="minorHAnsi"/>
        </w:rPr>
        <w:t>°</w:t>
      </w:r>
      <w:r>
        <w:t>C emission budget, i.e. in Meinshause</w:t>
      </w:r>
      <w:r w:rsidR="00B70534">
        <w:t>n</w:t>
      </w:r>
      <w:r>
        <w:t xml:space="preserve">, </w:t>
      </w:r>
      <w:proofErr w:type="spellStart"/>
      <w:r>
        <w:t>Robiou</w:t>
      </w:r>
      <w:proofErr w:type="spellEnd"/>
      <w:r>
        <w:t xml:space="preserve"> du Pont and Talberg (2018).</w:t>
      </w:r>
    </w:p>
    <w:p w14:paraId="1ACD3A7F" w14:textId="77777777" w:rsidR="00EC58C8" w:rsidRDefault="00EC58C8">
      <w:r w:rsidRPr="00EC58C8">
        <w:rPr>
          <w:noProof/>
        </w:rPr>
        <w:drawing>
          <wp:inline distT="0" distB="0" distL="0" distR="0" wp14:anchorId="1108A6BB" wp14:editId="13F106F6">
            <wp:extent cx="5019675" cy="2444770"/>
            <wp:effectExtent l="0" t="0" r="0" b="0"/>
            <wp:docPr id="5" name="Picture 1">
              <a:extLst xmlns:a="http://schemas.openxmlformats.org/drawingml/2006/main">
                <a:ext uri="{FF2B5EF4-FFF2-40B4-BE49-F238E27FC236}">
                  <a16:creationId xmlns:a16="http://schemas.microsoft.com/office/drawing/2014/main" id="{027E2489-F78D-4697-8582-227A3BA5B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7E2489-F78D-4697-8582-227A3BA5B157}"/>
                        </a:ext>
                      </a:extLst>
                    </pic:cNvPr>
                    <pic:cNvPicPr>
                      <a:picLocks noChangeAspect="1"/>
                    </pic:cNvPicPr>
                  </pic:nvPicPr>
                  <pic:blipFill>
                    <a:blip r:embed="rId16"/>
                    <a:stretch>
                      <a:fillRect/>
                    </a:stretch>
                  </pic:blipFill>
                  <pic:spPr>
                    <a:xfrm>
                      <a:off x="0" y="0"/>
                      <a:ext cx="5021558" cy="2445687"/>
                    </a:xfrm>
                    <a:prstGeom prst="rect">
                      <a:avLst/>
                    </a:prstGeom>
                  </pic:spPr>
                </pic:pic>
              </a:graphicData>
            </a:graphic>
          </wp:inline>
        </w:drawing>
      </w:r>
    </w:p>
    <w:p w14:paraId="4E49E9A3" w14:textId="1527BE67" w:rsidR="004525C8" w:rsidRDefault="004525C8">
      <w:r>
        <w:t xml:space="preserve">Here, assuming a share of 0.97% pursuant to </w:t>
      </w:r>
      <w:r w:rsidR="009C1A23">
        <w:t xml:space="preserve">the </w:t>
      </w:r>
      <w:r>
        <w:t xml:space="preserve">assumption of the Climate Change Authority, the remaining Australian emission budgets over the years </w:t>
      </w:r>
      <w:r w:rsidR="00945509">
        <w:t xml:space="preserve">2017 </w:t>
      </w:r>
      <w:r>
        <w:t xml:space="preserve">to 2050 results as: </w:t>
      </w:r>
    </w:p>
    <w:tbl>
      <w:tblPr>
        <w:tblStyle w:val="TableGrid"/>
        <w:tblW w:w="9351" w:type="dxa"/>
        <w:tblLook w:val="04A0" w:firstRow="1" w:lastRow="0" w:firstColumn="1" w:lastColumn="0" w:noHBand="0" w:noVBand="1"/>
      </w:tblPr>
      <w:tblGrid>
        <w:gridCol w:w="2694"/>
        <w:gridCol w:w="1554"/>
        <w:gridCol w:w="2268"/>
        <w:gridCol w:w="2835"/>
      </w:tblGrid>
      <w:tr w:rsidR="00945509" w:rsidRPr="00AF63D7" w14:paraId="2569FAE1" w14:textId="77777777" w:rsidTr="00D175FE">
        <w:tc>
          <w:tcPr>
            <w:tcW w:w="2694" w:type="dxa"/>
          </w:tcPr>
          <w:p w14:paraId="0494E158" w14:textId="6D50C255" w:rsidR="00945509" w:rsidRPr="00AF63D7" w:rsidRDefault="00945509" w:rsidP="00B36FE7">
            <w:pPr>
              <w:rPr>
                <w:b/>
                <w:sz w:val="24"/>
              </w:rPr>
            </w:pPr>
            <w:r>
              <w:rPr>
                <w:b/>
                <w:sz w:val="24"/>
              </w:rPr>
              <w:t>(</w:t>
            </w:r>
            <w:r w:rsidR="0025678B">
              <w:rPr>
                <w:b/>
                <w:sz w:val="24"/>
              </w:rPr>
              <w:t>800</w:t>
            </w:r>
            <w:r w:rsidRPr="00AF63D7">
              <w:rPr>
                <w:b/>
                <w:sz w:val="24"/>
              </w:rPr>
              <w:t xml:space="preserve"> GtCO</w:t>
            </w:r>
            <w:r w:rsidRPr="00AF63D7">
              <w:rPr>
                <w:b/>
                <w:sz w:val="24"/>
                <w:vertAlign w:val="subscript"/>
              </w:rPr>
              <w:t>2</w:t>
            </w:r>
          </w:p>
        </w:tc>
        <w:tc>
          <w:tcPr>
            <w:tcW w:w="1554" w:type="dxa"/>
          </w:tcPr>
          <w:p w14:paraId="5E959940" w14:textId="0495A162" w:rsidR="00945509" w:rsidRPr="004525C8" w:rsidRDefault="00945509" w:rsidP="004525C8">
            <w:pPr>
              <w:rPr>
                <w:b/>
                <w:sz w:val="24"/>
              </w:rPr>
            </w:pPr>
            <w:r>
              <w:rPr>
                <w:b/>
                <w:sz w:val="24"/>
              </w:rPr>
              <w:t>x 0.97</w:t>
            </w:r>
            <w:proofErr w:type="gramStart"/>
            <w:r>
              <w:rPr>
                <w:b/>
                <w:sz w:val="24"/>
              </w:rPr>
              <w:t>% )</w:t>
            </w:r>
            <w:proofErr w:type="gramEnd"/>
          </w:p>
        </w:tc>
        <w:tc>
          <w:tcPr>
            <w:tcW w:w="2268" w:type="dxa"/>
          </w:tcPr>
          <w:p w14:paraId="45E380DC" w14:textId="67ACADC7" w:rsidR="00945509" w:rsidRPr="00D175FE" w:rsidRDefault="00945509" w:rsidP="00945509">
            <w:pPr>
              <w:rPr>
                <w:b/>
                <w:sz w:val="24"/>
              </w:rPr>
            </w:pPr>
            <w:r w:rsidRPr="00945509">
              <w:rPr>
                <w:b/>
                <w:sz w:val="24"/>
              </w:rPr>
              <w:t>-</w:t>
            </w:r>
            <w:r>
              <w:rPr>
                <w:b/>
                <w:sz w:val="24"/>
              </w:rPr>
              <w:t xml:space="preserve"> 2.3 GtCO</w:t>
            </w:r>
            <w:r w:rsidRPr="00D175FE">
              <w:rPr>
                <w:b/>
                <w:sz w:val="24"/>
                <w:vertAlign w:val="subscript"/>
              </w:rPr>
              <w:t>2</w:t>
            </w:r>
          </w:p>
        </w:tc>
        <w:tc>
          <w:tcPr>
            <w:tcW w:w="2835" w:type="dxa"/>
          </w:tcPr>
          <w:p w14:paraId="2C251381" w14:textId="4E3C2B64" w:rsidR="00945509" w:rsidRPr="00AF63D7" w:rsidRDefault="00945509" w:rsidP="00B36FE7">
            <w:pPr>
              <w:rPr>
                <w:b/>
                <w:sz w:val="24"/>
              </w:rPr>
            </w:pPr>
            <w:r>
              <w:rPr>
                <w:b/>
                <w:sz w:val="24"/>
              </w:rPr>
              <w:t xml:space="preserve">= </w:t>
            </w:r>
            <w:r w:rsidR="0025678B">
              <w:rPr>
                <w:b/>
                <w:sz w:val="24"/>
              </w:rPr>
              <w:t xml:space="preserve">5.5 </w:t>
            </w:r>
            <w:r>
              <w:rPr>
                <w:b/>
                <w:sz w:val="24"/>
              </w:rPr>
              <w:t>GtCO</w:t>
            </w:r>
            <w:r w:rsidRPr="00AE5343">
              <w:rPr>
                <w:b/>
                <w:sz w:val="24"/>
                <w:vertAlign w:val="subscript"/>
              </w:rPr>
              <w:t>2</w:t>
            </w:r>
            <w:r>
              <w:rPr>
                <w:b/>
                <w:sz w:val="24"/>
                <w:vertAlign w:val="subscript"/>
              </w:rPr>
              <w:t>eq</w:t>
            </w:r>
          </w:p>
        </w:tc>
      </w:tr>
      <w:tr w:rsidR="00945509" w:rsidRPr="00AF63D7" w14:paraId="0641246D" w14:textId="77777777" w:rsidTr="00D175FE">
        <w:tc>
          <w:tcPr>
            <w:tcW w:w="2694" w:type="dxa"/>
          </w:tcPr>
          <w:p w14:paraId="6DCA5A5C" w14:textId="77777777" w:rsidR="00945509" w:rsidRPr="00AF63D7" w:rsidRDefault="00945509" w:rsidP="0030659B">
            <w:pPr>
              <w:jc w:val="left"/>
              <w:rPr>
                <w:sz w:val="18"/>
                <w:szCs w:val="18"/>
              </w:rPr>
            </w:pPr>
            <w:r w:rsidRPr="00AF63D7">
              <w:rPr>
                <w:sz w:val="18"/>
                <w:szCs w:val="18"/>
              </w:rPr>
              <w:t xml:space="preserve">The remaining </w:t>
            </w:r>
            <w:r>
              <w:rPr>
                <w:sz w:val="18"/>
                <w:szCs w:val="18"/>
              </w:rPr>
              <w:t>global emission</w:t>
            </w:r>
            <w:r w:rsidRPr="00AF63D7">
              <w:rPr>
                <w:sz w:val="18"/>
                <w:szCs w:val="18"/>
              </w:rPr>
              <w:t xml:space="preserve"> budget from Jan </w:t>
            </w:r>
            <w:r>
              <w:rPr>
                <w:sz w:val="18"/>
                <w:szCs w:val="18"/>
              </w:rPr>
              <w:t>2013</w:t>
            </w:r>
            <w:r w:rsidRPr="00AF63D7">
              <w:rPr>
                <w:sz w:val="18"/>
                <w:szCs w:val="18"/>
              </w:rPr>
              <w:t xml:space="preserve"> </w:t>
            </w:r>
            <w:r w:rsidRPr="004D244F">
              <w:rPr>
                <w:i/>
                <w:sz w:val="18"/>
                <w:szCs w:val="18"/>
              </w:rPr>
              <w:t xml:space="preserve">until </w:t>
            </w:r>
            <w:r>
              <w:rPr>
                <w:i/>
                <w:sz w:val="18"/>
                <w:szCs w:val="18"/>
              </w:rPr>
              <w:t>2050</w:t>
            </w:r>
            <w:r>
              <w:rPr>
                <w:sz w:val="18"/>
                <w:szCs w:val="18"/>
              </w:rPr>
              <w:t xml:space="preserve"> </w:t>
            </w:r>
            <w:r w:rsidRPr="00AF63D7">
              <w:rPr>
                <w:sz w:val="18"/>
                <w:szCs w:val="18"/>
              </w:rPr>
              <w:t>for a 50% warming to stay below 1.5</w:t>
            </w:r>
            <w:r>
              <w:rPr>
                <w:rFonts w:cstheme="minorHAnsi"/>
                <w:sz w:val="18"/>
                <w:szCs w:val="18"/>
              </w:rPr>
              <w:t>°</w:t>
            </w:r>
            <w:r w:rsidRPr="00AF63D7">
              <w:rPr>
                <w:sz w:val="18"/>
                <w:szCs w:val="18"/>
              </w:rPr>
              <w:t xml:space="preserve">C warming relative to </w:t>
            </w:r>
            <w:r>
              <w:rPr>
                <w:sz w:val="18"/>
                <w:szCs w:val="18"/>
              </w:rPr>
              <w:t xml:space="preserve">pre-industrial levels as derived above. </w:t>
            </w:r>
          </w:p>
        </w:tc>
        <w:tc>
          <w:tcPr>
            <w:tcW w:w="1554" w:type="dxa"/>
          </w:tcPr>
          <w:p w14:paraId="06F96659" w14:textId="77777777" w:rsidR="00945509" w:rsidRPr="00AF63D7" w:rsidRDefault="00945509" w:rsidP="0030659B">
            <w:pPr>
              <w:jc w:val="left"/>
              <w:rPr>
                <w:sz w:val="18"/>
                <w:szCs w:val="18"/>
              </w:rPr>
            </w:pPr>
            <w:r>
              <w:rPr>
                <w:sz w:val="18"/>
                <w:szCs w:val="18"/>
              </w:rPr>
              <w:t xml:space="preserve">The assumed Australian share of the 2013 to 2050 emission budget.  </w:t>
            </w:r>
          </w:p>
        </w:tc>
        <w:tc>
          <w:tcPr>
            <w:tcW w:w="2268" w:type="dxa"/>
          </w:tcPr>
          <w:p w14:paraId="1B67C95C" w14:textId="5FC4425B" w:rsidR="00945509" w:rsidRPr="00AF63D7" w:rsidRDefault="00945509" w:rsidP="0030659B">
            <w:pPr>
              <w:jc w:val="left"/>
              <w:rPr>
                <w:sz w:val="18"/>
                <w:szCs w:val="18"/>
              </w:rPr>
            </w:pPr>
            <w:r>
              <w:rPr>
                <w:sz w:val="18"/>
                <w:szCs w:val="18"/>
              </w:rPr>
              <w:t>The Australian emissions over 2013-2016</w:t>
            </w:r>
            <w:r w:rsidR="00D75B7A">
              <w:rPr>
                <w:sz w:val="18"/>
                <w:szCs w:val="18"/>
              </w:rPr>
              <w:t xml:space="preserve"> (same assumption as in Meinshausen et al., 2018)</w:t>
            </w:r>
          </w:p>
        </w:tc>
        <w:tc>
          <w:tcPr>
            <w:tcW w:w="2835" w:type="dxa"/>
          </w:tcPr>
          <w:p w14:paraId="28D81F9A" w14:textId="45959F0A" w:rsidR="00945509" w:rsidRPr="00AF63D7" w:rsidRDefault="00945509" w:rsidP="0030659B">
            <w:pPr>
              <w:jc w:val="left"/>
              <w:rPr>
                <w:sz w:val="18"/>
                <w:szCs w:val="18"/>
              </w:rPr>
            </w:pPr>
            <w:r w:rsidRPr="00AF63D7">
              <w:rPr>
                <w:sz w:val="18"/>
                <w:szCs w:val="18"/>
              </w:rPr>
              <w:t xml:space="preserve">The remaining </w:t>
            </w:r>
            <w:r>
              <w:rPr>
                <w:sz w:val="18"/>
                <w:szCs w:val="18"/>
              </w:rPr>
              <w:t xml:space="preserve">Australian </w:t>
            </w:r>
            <w:r w:rsidRPr="008D4FC5">
              <w:rPr>
                <w:i/>
                <w:sz w:val="18"/>
                <w:szCs w:val="18"/>
              </w:rPr>
              <w:t>emission</w:t>
            </w:r>
            <w:r w:rsidRPr="00AF63D7">
              <w:rPr>
                <w:sz w:val="18"/>
                <w:szCs w:val="18"/>
              </w:rPr>
              <w:t xml:space="preserve"> budget from Jan </w:t>
            </w:r>
            <w:r w:rsidR="003E1BCF">
              <w:rPr>
                <w:sz w:val="18"/>
                <w:szCs w:val="18"/>
              </w:rPr>
              <w:t>2017</w:t>
            </w:r>
            <w:r w:rsidR="003E1BCF" w:rsidRPr="00AF63D7">
              <w:rPr>
                <w:sz w:val="18"/>
                <w:szCs w:val="18"/>
              </w:rPr>
              <w:t xml:space="preserve"> </w:t>
            </w:r>
            <w:r w:rsidRPr="004D244F">
              <w:rPr>
                <w:i/>
                <w:sz w:val="18"/>
                <w:szCs w:val="18"/>
              </w:rPr>
              <w:t>until 2050</w:t>
            </w:r>
            <w:r w:rsidRPr="00AF63D7">
              <w:rPr>
                <w:sz w:val="18"/>
                <w:szCs w:val="18"/>
              </w:rPr>
              <w:t xml:space="preserve"> for a 50% warming to stay below 1.5</w:t>
            </w:r>
            <w:r>
              <w:rPr>
                <w:rFonts w:cstheme="minorHAnsi"/>
                <w:sz w:val="18"/>
                <w:szCs w:val="18"/>
              </w:rPr>
              <w:t>°</w:t>
            </w:r>
            <w:r w:rsidRPr="00AF63D7">
              <w:rPr>
                <w:sz w:val="18"/>
                <w:szCs w:val="18"/>
              </w:rPr>
              <w:t xml:space="preserve">C warming relative to </w:t>
            </w:r>
            <w:r>
              <w:rPr>
                <w:sz w:val="18"/>
                <w:szCs w:val="18"/>
              </w:rPr>
              <w:t>pre-industrial levels</w:t>
            </w:r>
            <w:r w:rsidRPr="00AF63D7">
              <w:rPr>
                <w:sz w:val="18"/>
                <w:szCs w:val="18"/>
              </w:rPr>
              <w:t>.</w:t>
            </w:r>
          </w:p>
        </w:tc>
      </w:tr>
    </w:tbl>
    <w:p w14:paraId="0C1F1609" w14:textId="77777777" w:rsidR="004525C8" w:rsidRDefault="004525C8"/>
    <w:p w14:paraId="1F9CFFBC" w14:textId="77777777" w:rsidR="004525C8" w:rsidRDefault="004525C8" w:rsidP="004525C8">
      <w:pPr>
        <w:pStyle w:val="Heading1"/>
      </w:pPr>
      <w:r>
        <w:t xml:space="preserve">Step </w:t>
      </w:r>
      <w:r w:rsidR="00077002">
        <w:t>5</w:t>
      </w:r>
      <w:r>
        <w:t xml:space="preserve">: Deriving the Victorian emission budget. </w:t>
      </w:r>
    </w:p>
    <w:p w14:paraId="650B8611" w14:textId="5007D12C" w:rsidR="004525C8" w:rsidRDefault="004525C8">
      <w:r>
        <w:t xml:space="preserve">For Victoria, again, various approaches could be followed to determine a fair share of Australian emissions, </w:t>
      </w:r>
      <w:proofErr w:type="gramStart"/>
      <w:r>
        <w:t>taking into account</w:t>
      </w:r>
      <w:proofErr w:type="gramEnd"/>
      <w:r>
        <w:t xml:space="preserve"> current emission levels, historical emissions, GSP, the per-capita emission levels etc. Here, we apply an illustrative 23% share, which is approximately a median fraction across </w:t>
      </w:r>
      <w:proofErr w:type="gramStart"/>
      <w:r>
        <w:t>a number of</w:t>
      </w:r>
      <w:proofErr w:type="gramEnd"/>
      <w:r>
        <w:t xml:space="preserve"> different approaches that can be taken</w:t>
      </w:r>
      <w:r w:rsidR="00B70534">
        <w:t xml:space="preserve"> (see Meinshausen, </w:t>
      </w:r>
      <w:proofErr w:type="spellStart"/>
      <w:r w:rsidR="00B70534">
        <w:t>Robiou</w:t>
      </w:r>
      <w:proofErr w:type="spellEnd"/>
      <w:r w:rsidR="00B70534">
        <w:t xml:space="preserve"> du Pont and Talberg, 2018)</w:t>
      </w:r>
      <w:r>
        <w:t xml:space="preserve">. </w:t>
      </w:r>
    </w:p>
    <w:p w14:paraId="062331EA" w14:textId="77777777" w:rsidR="004525C8" w:rsidRDefault="004525C8">
      <w:r>
        <w:t>In equation form</w:t>
      </w:r>
    </w:p>
    <w:tbl>
      <w:tblPr>
        <w:tblStyle w:val="TableGrid"/>
        <w:tblW w:w="8359" w:type="dxa"/>
        <w:tblLook w:val="04A0" w:firstRow="1" w:lastRow="0" w:firstColumn="1" w:lastColumn="0" w:noHBand="0" w:noVBand="1"/>
      </w:tblPr>
      <w:tblGrid>
        <w:gridCol w:w="3397"/>
        <w:gridCol w:w="1985"/>
        <w:gridCol w:w="2977"/>
      </w:tblGrid>
      <w:tr w:rsidR="003E1BCF" w:rsidRPr="00AF63D7" w14:paraId="44A59440" w14:textId="77777777" w:rsidTr="00D175FE">
        <w:tc>
          <w:tcPr>
            <w:tcW w:w="3397" w:type="dxa"/>
          </w:tcPr>
          <w:p w14:paraId="0F3E9B87" w14:textId="18158C3A" w:rsidR="003E1BCF" w:rsidRPr="00D175FE" w:rsidRDefault="003E1BCF" w:rsidP="00D175FE">
            <w:pPr>
              <w:rPr>
                <w:b/>
                <w:sz w:val="24"/>
              </w:rPr>
            </w:pPr>
            <w:r>
              <w:rPr>
                <w:b/>
                <w:sz w:val="24"/>
              </w:rPr>
              <w:t>(</w:t>
            </w:r>
            <w:r w:rsidR="0025678B">
              <w:rPr>
                <w:b/>
                <w:sz w:val="24"/>
              </w:rPr>
              <w:t xml:space="preserve">5.5 </w:t>
            </w:r>
            <w:r w:rsidRPr="00D175FE">
              <w:rPr>
                <w:b/>
                <w:sz w:val="24"/>
              </w:rPr>
              <w:t>GtCO</w:t>
            </w:r>
            <w:r w:rsidRPr="00D175FE">
              <w:rPr>
                <w:b/>
                <w:sz w:val="24"/>
                <w:vertAlign w:val="subscript"/>
              </w:rPr>
              <w:t>2eq</w:t>
            </w:r>
          </w:p>
        </w:tc>
        <w:tc>
          <w:tcPr>
            <w:tcW w:w="1985" w:type="dxa"/>
          </w:tcPr>
          <w:p w14:paraId="6FE14263" w14:textId="4C6208DE" w:rsidR="003E1BCF" w:rsidRPr="00AF63D7" w:rsidRDefault="003E1BCF" w:rsidP="004525C8">
            <w:pPr>
              <w:rPr>
                <w:b/>
                <w:sz w:val="24"/>
              </w:rPr>
            </w:pPr>
            <w:r>
              <w:rPr>
                <w:b/>
                <w:sz w:val="24"/>
              </w:rPr>
              <w:t>x 23%)</w:t>
            </w:r>
          </w:p>
        </w:tc>
        <w:tc>
          <w:tcPr>
            <w:tcW w:w="2977" w:type="dxa"/>
          </w:tcPr>
          <w:p w14:paraId="7734EE44" w14:textId="0DB14532" w:rsidR="003E1BCF" w:rsidRPr="00AF63D7" w:rsidRDefault="003E1BCF" w:rsidP="004525C8">
            <w:pPr>
              <w:rPr>
                <w:b/>
                <w:sz w:val="24"/>
              </w:rPr>
            </w:pPr>
            <w:r>
              <w:rPr>
                <w:b/>
                <w:sz w:val="24"/>
              </w:rPr>
              <w:t>= 1.</w:t>
            </w:r>
            <w:r w:rsidR="0025678B">
              <w:rPr>
                <w:b/>
                <w:sz w:val="24"/>
              </w:rPr>
              <w:t>25</w:t>
            </w:r>
            <w:r>
              <w:rPr>
                <w:b/>
                <w:sz w:val="24"/>
              </w:rPr>
              <w:t xml:space="preserve"> GtCO</w:t>
            </w:r>
            <w:r w:rsidRPr="00AE5343">
              <w:rPr>
                <w:b/>
                <w:sz w:val="24"/>
                <w:vertAlign w:val="subscript"/>
              </w:rPr>
              <w:t>2</w:t>
            </w:r>
            <w:r>
              <w:rPr>
                <w:b/>
                <w:sz w:val="24"/>
                <w:vertAlign w:val="subscript"/>
              </w:rPr>
              <w:t>eq</w:t>
            </w:r>
          </w:p>
        </w:tc>
      </w:tr>
      <w:tr w:rsidR="003E1BCF" w:rsidRPr="00D175FE" w14:paraId="0CC474D3" w14:textId="77777777" w:rsidTr="00D175FE">
        <w:tc>
          <w:tcPr>
            <w:tcW w:w="3397" w:type="dxa"/>
          </w:tcPr>
          <w:p w14:paraId="1F35244F" w14:textId="2238803F" w:rsidR="003E1BCF" w:rsidRPr="00D175FE" w:rsidRDefault="003E1BCF" w:rsidP="0030659B">
            <w:pPr>
              <w:jc w:val="left"/>
              <w:rPr>
                <w:sz w:val="18"/>
                <w:szCs w:val="18"/>
              </w:rPr>
            </w:pPr>
            <w:r w:rsidRPr="00D175FE">
              <w:rPr>
                <w:sz w:val="18"/>
                <w:szCs w:val="18"/>
              </w:rPr>
              <w:t xml:space="preserve">The remaining Australian </w:t>
            </w:r>
            <w:r w:rsidRPr="00D175FE">
              <w:rPr>
                <w:i/>
                <w:sz w:val="18"/>
                <w:szCs w:val="18"/>
              </w:rPr>
              <w:t>emission</w:t>
            </w:r>
            <w:r w:rsidRPr="00D175FE">
              <w:rPr>
                <w:sz w:val="18"/>
                <w:szCs w:val="18"/>
              </w:rPr>
              <w:t xml:space="preserve"> budget from Jan</w:t>
            </w:r>
            <w:r w:rsidR="00D175FE" w:rsidRPr="00D175FE">
              <w:rPr>
                <w:sz w:val="18"/>
                <w:szCs w:val="18"/>
              </w:rPr>
              <w:t>uary</w:t>
            </w:r>
            <w:r w:rsidRPr="00D175FE">
              <w:rPr>
                <w:sz w:val="18"/>
                <w:szCs w:val="18"/>
              </w:rPr>
              <w:t xml:space="preserve"> 2017 </w:t>
            </w:r>
            <w:r w:rsidRPr="00D175FE">
              <w:rPr>
                <w:i/>
                <w:sz w:val="18"/>
                <w:szCs w:val="18"/>
              </w:rPr>
              <w:t>until 2050</w:t>
            </w:r>
            <w:r w:rsidRPr="00D175FE">
              <w:rPr>
                <w:sz w:val="18"/>
                <w:szCs w:val="18"/>
              </w:rPr>
              <w:t xml:space="preserve"> for a 50% warming to stay below 1.5</w:t>
            </w:r>
            <w:r w:rsidRPr="00D175FE">
              <w:rPr>
                <w:rFonts w:cstheme="minorHAnsi"/>
                <w:sz w:val="18"/>
                <w:szCs w:val="18"/>
              </w:rPr>
              <w:t>°</w:t>
            </w:r>
            <w:r w:rsidRPr="00D175FE">
              <w:rPr>
                <w:sz w:val="18"/>
                <w:szCs w:val="18"/>
              </w:rPr>
              <w:t>C warming relative to pre-industrial levels.</w:t>
            </w:r>
          </w:p>
        </w:tc>
        <w:tc>
          <w:tcPr>
            <w:tcW w:w="1985" w:type="dxa"/>
          </w:tcPr>
          <w:p w14:paraId="54BEA1FF" w14:textId="0041BCCD" w:rsidR="003E1BCF" w:rsidRPr="00D175FE" w:rsidRDefault="003E1BCF" w:rsidP="0030659B">
            <w:pPr>
              <w:jc w:val="left"/>
              <w:rPr>
                <w:sz w:val="18"/>
                <w:szCs w:val="18"/>
              </w:rPr>
            </w:pPr>
            <w:r w:rsidRPr="00D175FE">
              <w:rPr>
                <w:sz w:val="18"/>
                <w:szCs w:val="18"/>
              </w:rPr>
              <w:t xml:space="preserve">The assumed Victorian share of the 2017 to 2050 Australian emission budget. </w:t>
            </w:r>
            <w:r w:rsidR="00D75B7A" w:rsidRPr="00D175FE">
              <w:rPr>
                <w:sz w:val="18"/>
                <w:szCs w:val="18"/>
              </w:rPr>
              <w:t>(see Meinshausen et al., 2018)</w:t>
            </w:r>
          </w:p>
        </w:tc>
        <w:tc>
          <w:tcPr>
            <w:tcW w:w="2977" w:type="dxa"/>
          </w:tcPr>
          <w:p w14:paraId="76E00FA0" w14:textId="5B2A544A" w:rsidR="003E1BCF" w:rsidRPr="00D175FE" w:rsidRDefault="003E1BCF" w:rsidP="0030659B">
            <w:pPr>
              <w:jc w:val="left"/>
              <w:rPr>
                <w:sz w:val="18"/>
                <w:szCs w:val="18"/>
              </w:rPr>
            </w:pPr>
            <w:r w:rsidRPr="00D175FE">
              <w:rPr>
                <w:sz w:val="18"/>
                <w:szCs w:val="18"/>
              </w:rPr>
              <w:t xml:space="preserve">The remaining Victorian </w:t>
            </w:r>
            <w:r w:rsidRPr="00D175FE">
              <w:rPr>
                <w:i/>
                <w:sz w:val="18"/>
                <w:szCs w:val="18"/>
              </w:rPr>
              <w:t>emission</w:t>
            </w:r>
            <w:r w:rsidRPr="00D175FE">
              <w:rPr>
                <w:sz w:val="18"/>
                <w:szCs w:val="18"/>
              </w:rPr>
              <w:t xml:space="preserve"> budget from Jan</w:t>
            </w:r>
            <w:r w:rsidR="00D175FE" w:rsidRPr="00D175FE">
              <w:rPr>
                <w:sz w:val="18"/>
                <w:szCs w:val="18"/>
              </w:rPr>
              <w:t>uary</w:t>
            </w:r>
            <w:r w:rsidRPr="00D175FE">
              <w:rPr>
                <w:sz w:val="18"/>
                <w:szCs w:val="18"/>
              </w:rPr>
              <w:t xml:space="preserve"> 2017 </w:t>
            </w:r>
            <w:r w:rsidRPr="00D175FE">
              <w:rPr>
                <w:i/>
                <w:sz w:val="18"/>
                <w:szCs w:val="18"/>
              </w:rPr>
              <w:t>until 2050</w:t>
            </w:r>
            <w:r w:rsidRPr="00D175FE">
              <w:rPr>
                <w:sz w:val="18"/>
                <w:szCs w:val="18"/>
              </w:rPr>
              <w:t xml:space="preserve"> for a 50% warming to stay below 1.5</w:t>
            </w:r>
            <w:r w:rsidRPr="00D175FE">
              <w:rPr>
                <w:rFonts w:cstheme="minorHAnsi"/>
                <w:sz w:val="18"/>
                <w:szCs w:val="18"/>
              </w:rPr>
              <w:t>°</w:t>
            </w:r>
            <w:r w:rsidRPr="00D175FE">
              <w:rPr>
                <w:sz w:val="18"/>
                <w:szCs w:val="18"/>
              </w:rPr>
              <w:t>C warming relative to pre-industrial levels.</w:t>
            </w:r>
          </w:p>
        </w:tc>
      </w:tr>
    </w:tbl>
    <w:p w14:paraId="56CDD5AE" w14:textId="2810A659" w:rsidR="00D175FE" w:rsidRPr="00EC3432" w:rsidRDefault="00077002" w:rsidP="00EC3432">
      <w:r w:rsidRPr="00D175FE">
        <w:t>Thus, the result of these five derivation steps is that the remaining Victorian emission budget between 201</w:t>
      </w:r>
      <w:r w:rsidR="003E1BCF" w:rsidRPr="00D175FE">
        <w:t>7</w:t>
      </w:r>
      <w:r w:rsidRPr="00D175FE">
        <w:t xml:space="preserve"> and 2050 is </w:t>
      </w:r>
      <w:r w:rsidR="00715F45">
        <w:t>1.25</w:t>
      </w:r>
      <w:r w:rsidRPr="00D175FE">
        <w:t xml:space="preserve"> GtCO</w:t>
      </w:r>
      <w:r w:rsidRPr="00D175FE">
        <w:rPr>
          <w:vertAlign w:val="subscript"/>
        </w:rPr>
        <w:t>2</w:t>
      </w:r>
      <w:r w:rsidRPr="00D175FE">
        <w:t xml:space="preserve">eq </w:t>
      </w:r>
      <w:proofErr w:type="gramStart"/>
      <w:r w:rsidRPr="00D175FE">
        <w:t>in order to</w:t>
      </w:r>
      <w:proofErr w:type="gramEnd"/>
      <w:r w:rsidRPr="00D175FE">
        <w:t xml:space="preserve"> keep warming to below 1.5</w:t>
      </w:r>
      <w:r w:rsidRPr="00D175FE">
        <w:rPr>
          <w:rFonts w:cstheme="minorHAnsi"/>
        </w:rPr>
        <w:t>°</w:t>
      </w:r>
      <w:r w:rsidRPr="00D175FE">
        <w:t xml:space="preserve">C with a 50% chance and on the condition of value judgements </w:t>
      </w:r>
      <w:r w:rsidR="00D46E88" w:rsidRPr="00D175FE">
        <w:t xml:space="preserve">by the Independent Expert Panel </w:t>
      </w:r>
      <w:r w:rsidRPr="00D175FE">
        <w:t>regarding the Australian and Victorian fair shares.</w:t>
      </w:r>
      <w:r>
        <w:t xml:space="preserve"> </w:t>
      </w:r>
    </w:p>
    <w:p w14:paraId="6BE28243" w14:textId="3AF5548C" w:rsidR="00715F45" w:rsidRDefault="00715F45" w:rsidP="00715F45">
      <w:pPr>
        <w:pStyle w:val="Heading1"/>
      </w:pPr>
      <w:r>
        <w:lastRenderedPageBreak/>
        <w:t xml:space="preserve">Appendix: Calculation if the world were to assume 100 GtCO2 net negative emissions in second half of the century. </w:t>
      </w:r>
    </w:p>
    <w:p w14:paraId="4C802A45" w14:textId="11DEDAA5" w:rsidR="00715F45" w:rsidRDefault="00715F45" w:rsidP="006C42AA">
      <w:pPr>
        <w:rPr>
          <w:u w:val="single"/>
        </w:rPr>
      </w:pPr>
    </w:p>
    <w:p w14:paraId="2D76ACE8" w14:textId="04640F2D" w:rsidR="00715F45" w:rsidRPr="00EC3432" w:rsidRDefault="00715F45" w:rsidP="006C42AA">
      <w:r w:rsidRPr="00EC3432">
        <w:t xml:space="preserve">This Appendix investigates the question how the Victorian carbon budget would change, if the world would bank on the availability of 100 GtCO2 net negative emissions in the second half of the century. Such a net negative emission would be similar in size as the expected permafrost-related carbon cycle feedback of a 100 GtCO2 extra emissions (see Special Report on 1.5C, Table 2.2). </w:t>
      </w:r>
    </w:p>
    <w:p w14:paraId="60EBE0ED" w14:textId="6A1CC4AB" w:rsidR="00D175FE" w:rsidRPr="00EC3432" w:rsidRDefault="00715F45" w:rsidP="006C42AA">
      <w:r w:rsidRPr="00EC3432">
        <w:t xml:space="preserve">Here, we hence pursue the same calculation steps as above, but assume </w:t>
      </w:r>
      <w:r w:rsidR="009E18F5" w:rsidRPr="00EC3432">
        <w:t>that the full-century carbon budget will initially be overshot by 100 GtCO</w:t>
      </w:r>
      <w:r w:rsidR="009E18F5" w:rsidRPr="00EC3432">
        <w:rPr>
          <w:vertAlign w:val="subscript"/>
        </w:rPr>
        <w:t>2</w:t>
      </w:r>
      <w:r w:rsidR="009E18F5" w:rsidRPr="00EC3432">
        <w:t>, which relies on the assumption that global net emissions after 2050 will manage to draw a net amount of 100 GtCO2 out of the atmosphere again</w:t>
      </w:r>
      <w:r w:rsidRPr="00EC3432">
        <w:t xml:space="preserve">. </w:t>
      </w:r>
      <w:bookmarkStart w:id="0" w:name="_GoBack"/>
      <w:bookmarkEnd w:id="0"/>
    </w:p>
    <w:p w14:paraId="6CB1CFE6" w14:textId="77777777" w:rsidR="009E18F5" w:rsidRPr="00EC3432" w:rsidRDefault="009E18F5" w:rsidP="006C42AA"/>
    <w:p w14:paraId="0CF8B9E4" w14:textId="4C00AE95" w:rsidR="00715F45" w:rsidRDefault="00715F45" w:rsidP="006C42AA">
      <w:pPr>
        <w:rPr>
          <w:u w:val="single"/>
        </w:rPr>
      </w:pPr>
      <w:r>
        <w:rPr>
          <w:u w:val="single"/>
        </w:rPr>
        <w:t xml:space="preserve">Step 1 </w:t>
      </w:r>
      <w:r w:rsidR="009E18F5">
        <w:rPr>
          <w:u w:val="single"/>
        </w:rPr>
        <w:t>hence remains as before</w:t>
      </w:r>
      <w:r>
        <w:rPr>
          <w:u w:val="single"/>
        </w:rPr>
        <w:t xml:space="preserve">: </w:t>
      </w:r>
    </w:p>
    <w:tbl>
      <w:tblPr>
        <w:tblStyle w:val="TableGrid"/>
        <w:tblW w:w="9596" w:type="dxa"/>
        <w:tblLook w:val="04A0" w:firstRow="1" w:lastRow="0" w:firstColumn="1" w:lastColumn="0" w:noHBand="0" w:noVBand="1"/>
      </w:tblPr>
      <w:tblGrid>
        <w:gridCol w:w="1985"/>
        <w:gridCol w:w="2136"/>
        <w:gridCol w:w="1816"/>
        <w:gridCol w:w="1872"/>
        <w:gridCol w:w="1787"/>
      </w:tblGrid>
      <w:tr w:rsidR="00715F45" w:rsidRPr="00AF63D7" w14:paraId="713E4E9D" w14:textId="77777777" w:rsidTr="006B06BB">
        <w:tc>
          <w:tcPr>
            <w:tcW w:w="1985" w:type="dxa"/>
          </w:tcPr>
          <w:p w14:paraId="78D70CBC" w14:textId="77777777" w:rsidR="00715F45" w:rsidRPr="00AF63D7" w:rsidRDefault="00715F45" w:rsidP="006B06BB">
            <w:pPr>
              <w:rPr>
                <w:b/>
                <w:sz w:val="24"/>
              </w:rPr>
            </w:pPr>
            <w:r w:rsidRPr="00AF63D7">
              <w:rPr>
                <w:b/>
                <w:sz w:val="24"/>
              </w:rPr>
              <w:t>580 GtCO</w:t>
            </w:r>
            <w:r w:rsidRPr="00AF63D7">
              <w:rPr>
                <w:b/>
                <w:sz w:val="24"/>
                <w:vertAlign w:val="subscript"/>
              </w:rPr>
              <w:t>2</w:t>
            </w:r>
          </w:p>
        </w:tc>
        <w:tc>
          <w:tcPr>
            <w:tcW w:w="2136" w:type="dxa"/>
          </w:tcPr>
          <w:p w14:paraId="6D1073E4" w14:textId="77777777" w:rsidR="00715F45" w:rsidRPr="00AF63D7" w:rsidRDefault="00715F45" w:rsidP="006B06BB">
            <w:pPr>
              <w:rPr>
                <w:b/>
                <w:sz w:val="24"/>
              </w:rPr>
            </w:pPr>
            <w:r w:rsidRPr="00AF63D7">
              <w:rPr>
                <w:b/>
                <w:sz w:val="24"/>
              </w:rPr>
              <w:t>+200 GtCO</w:t>
            </w:r>
            <w:r w:rsidRPr="00AF63D7">
              <w:rPr>
                <w:b/>
                <w:sz w:val="24"/>
                <w:vertAlign w:val="subscript"/>
              </w:rPr>
              <w:t>2</w:t>
            </w:r>
          </w:p>
        </w:tc>
        <w:tc>
          <w:tcPr>
            <w:tcW w:w="1816" w:type="dxa"/>
          </w:tcPr>
          <w:p w14:paraId="2B3AEBBD" w14:textId="69E12C9D" w:rsidR="00715F45" w:rsidRPr="00AF63D7" w:rsidRDefault="00715F45" w:rsidP="006B06BB">
            <w:pPr>
              <w:rPr>
                <w:b/>
                <w:sz w:val="24"/>
              </w:rPr>
            </w:pPr>
            <w:r w:rsidRPr="00AF63D7">
              <w:rPr>
                <w:b/>
                <w:sz w:val="24"/>
              </w:rPr>
              <w:t>-</w:t>
            </w:r>
            <w:r>
              <w:rPr>
                <w:b/>
                <w:sz w:val="24"/>
              </w:rPr>
              <w:t>10</w:t>
            </w:r>
            <w:r w:rsidRPr="00AF63D7">
              <w:rPr>
                <w:b/>
                <w:sz w:val="24"/>
              </w:rPr>
              <w:t>0 GtCO</w:t>
            </w:r>
            <w:r w:rsidRPr="00AF63D7">
              <w:rPr>
                <w:b/>
                <w:sz w:val="24"/>
                <w:vertAlign w:val="subscript"/>
              </w:rPr>
              <w:t>2</w:t>
            </w:r>
          </w:p>
        </w:tc>
        <w:tc>
          <w:tcPr>
            <w:tcW w:w="1872" w:type="dxa"/>
          </w:tcPr>
          <w:p w14:paraId="0E727985" w14:textId="77777777" w:rsidR="00715F45" w:rsidRPr="00AF63D7" w:rsidRDefault="00715F45" w:rsidP="006B06BB">
            <w:pPr>
              <w:rPr>
                <w:b/>
                <w:sz w:val="24"/>
              </w:rPr>
            </w:pPr>
            <w:r>
              <w:rPr>
                <w:b/>
                <w:sz w:val="24"/>
              </w:rPr>
              <w:t>- 180 GtCO</w:t>
            </w:r>
            <w:r w:rsidRPr="00AF63D7">
              <w:rPr>
                <w:b/>
                <w:sz w:val="24"/>
                <w:vertAlign w:val="subscript"/>
              </w:rPr>
              <w:t>2</w:t>
            </w:r>
          </w:p>
        </w:tc>
        <w:tc>
          <w:tcPr>
            <w:tcW w:w="1787" w:type="dxa"/>
          </w:tcPr>
          <w:p w14:paraId="58AC9E35" w14:textId="2E5B853E" w:rsidR="00715F45" w:rsidRPr="00AF63D7" w:rsidRDefault="00715F45" w:rsidP="006B06BB">
            <w:pPr>
              <w:rPr>
                <w:b/>
                <w:sz w:val="24"/>
              </w:rPr>
            </w:pPr>
            <w:r>
              <w:rPr>
                <w:b/>
                <w:sz w:val="24"/>
              </w:rPr>
              <w:t>= 500 GtCO</w:t>
            </w:r>
            <w:r w:rsidRPr="00AE5343">
              <w:rPr>
                <w:b/>
                <w:sz w:val="24"/>
                <w:vertAlign w:val="subscript"/>
              </w:rPr>
              <w:t>2</w:t>
            </w:r>
          </w:p>
        </w:tc>
      </w:tr>
      <w:tr w:rsidR="00715F45" w:rsidRPr="00AF63D7" w14:paraId="43C3CA8A" w14:textId="77777777" w:rsidTr="006B06BB">
        <w:tc>
          <w:tcPr>
            <w:tcW w:w="1985" w:type="dxa"/>
          </w:tcPr>
          <w:p w14:paraId="7E5AC46F" w14:textId="77777777" w:rsidR="00715F45" w:rsidRPr="00AF63D7" w:rsidRDefault="00715F45" w:rsidP="006B06BB">
            <w:pPr>
              <w:jc w:val="left"/>
              <w:rPr>
                <w:sz w:val="18"/>
                <w:szCs w:val="18"/>
              </w:rPr>
            </w:pPr>
            <w:r w:rsidRPr="00AF63D7">
              <w:rPr>
                <w:sz w:val="18"/>
                <w:szCs w:val="18"/>
              </w:rPr>
              <w:t>The remaining carbo</w:t>
            </w:r>
            <w:r>
              <w:rPr>
                <w:sz w:val="18"/>
                <w:szCs w:val="18"/>
              </w:rPr>
              <w:t>n</w:t>
            </w:r>
            <w:r w:rsidRPr="00AF63D7">
              <w:rPr>
                <w:sz w:val="18"/>
                <w:szCs w:val="18"/>
              </w:rPr>
              <w:t xml:space="preserve"> budget from Jan 2018 onwards listed in IPCC SR1.5 for a 50% warming to stay below 1.5</w:t>
            </w:r>
            <w:r>
              <w:rPr>
                <w:rFonts w:cstheme="minorHAnsi"/>
                <w:sz w:val="18"/>
                <w:szCs w:val="18"/>
              </w:rPr>
              <w:t>°</w:t>
            </w:r>
            <w:r w:rsidRPr="00AF63D7">
              <w:rPr>
                <w:sz w:val="18"/>
                <w:szCs w:val="18"/>
              </w:rPr>
              <w:t xml:space="preserve">C warming relative to 1850-1900. </w:t>
            </w:r>
          </w:p>
        </w:tc>
        <w:tc>
          <w:tcPr>
            <w:tcW w:w="2136" w:type="dxa"/>
          </w:tcPr>
          <w:p w14:paraId="7B2EC9A3" w14:textId="77777777" w:rsidR="00715F45" w:rsidRPr="00AF63D7" w:rsidRDefault="00715F45" w:rsidP="006B06BB">
            <w:pPr>
              <w:jc w:val="left"/>
              <w:rPr>
                <w:sz w:val="18"/>
                <w:szCs w:val="18"/>
              </w:rPr>
            </w:pPr>
            <w:r w:rsidRPr="00AF63D7">
              <w:rPr>
                <w:sz w:val="18"/>
                <w:szCs w:val="18"/>
              </w:rPr>
              <w:t xml:space="preserve">Enlarging the budget to account for global emissions from 2013 to 2018, so that the remaining budget’s starting year is 2013 </w:t>
            </w:r>
          </w:p>
        </w:tc>
        <w:tc>
          <w:tcPr>
            <w:tcW w:w="1816" w:type="dxa"/>
          </w:tcPr>
          <w:p w14:paraId="4CFA6109" w14:textId="57CACE1B" w:rsidR="00715F45" w:rsidRPr="00AF63D7" w:rsidRDefault="00715F45" w:rsidP="006B06BB">
            <w:pPr>
              <w:jc w:val="left"/>
              <w:rPr>
                <w:sz w:val="18"/>
                <w:szCs w:val="18"/>
              </w:rPr>
            </w:pPr>
            <w:r>
              <w:rPr>
                <w:sz w:val="18"/>
                <w:szCs w:val="18"/>
              </w:rPr>
              <w:t>T</w:t>
            </w:r>
            <w:r w:rsidRPr="00AF63D7">
              <w:rPr>
                <w:sz w:val="18"/>
                <w:szCs w:val="18"/>
              </w:rPr>
              <w:t xml:space="preserve">he remaining budget </w:t>
            </w:r>
            <w:r>
              <w:rPr>
                <w:sz w:val="18"/>
                <w:szCs w:val="18"/>
              </w:rPr>
              <w:t>is adjusted to</w:t>
            </w:r>
            <w:r w:rsidRPr="00AF63D7">
              <w:rPr>
                <w:sz w:val="18"/>
                <w:szCs w:val="18"/>
              </w:rPr>
              <w:t xml:space="preserve"> account for permafrost-related feedbacks </w:t>
            </w:r>
            <w:r>
              <w:rPr>
                <w:sz w:val="18"/>
                <w:szCs w:val="18"/>
              </w:rPr>
              <w:t>of the order of 100 GtCO</w:t>
            </w:r>
            <w:r w:rsidRPr="00C95106">
              <w:rPr>
                <w:sz w:val="18"/>
                <w:szCs w:val="18"/>
                <w:vertAlign w:val="subscript"/>
              </w:rPr>
              <w:t>2</w:t>
            </w:r>
            <w:r>
              <w:rPr>
                <w:sz w:val="18"/>
                <w:szCs w:val="18"/>
                <w:vertAlign w:val="subscript"/>
              </w:rPr>
              <w:t xml:space="preserve">. </w:t>
            </w:r>
            <w:r>
              <w:rPr>
                <w:sz w:val="18"/>
                <w:szCs w:val="18"/>
              </w:rPr>
              <w:t>See Table 2.2 in IPCC SR1.5</w:t>
            </w:r>
          </w:p>
        </w:tc>
        <w:tc>
          <w:tcPr>
            <w:tcW w:w="1872" w:type="dxa"/>
          </w:tcPr>
          <w:p w14:paraId="3C69629F" w14:textId="77777777" w:rsidR="00715F45" w:rsidRPr="00AF63D7" w:rsidRDefault="00715F45" w:rsidP="006B06BB">
            <w:pPr>
              <w:jc w:val="left"/>
              <w:rPr>
                <w:sz w:val="18"/>
                <w:szCs w:val="18"/>
              </w:rPr>
            </w:pPr>
            <w:r w:rsidRPr="00AF63D7">
              <w:rPr>
                <w:sz w:val="18"/>
                <w:szCs w:val="18"/>
              </w:rPr>
              <w:t>Reducing the remaining budget to account for a 1.5</w:t>
            </w:r>
            <w:r>
              <w:rPr>
                <w:rFonts w:cstheme="minorHAnsi"/>
                <w:sz w:val="18"/>
                <w:szCs w:val="18"/>
              </w:rPr>
              <w:t>°</w:t>
            </w:r>
            <w:r w:rsidRPr="00AF63D7">
              <w:rPr>
                <w:sz w:val="18"/>
                <w:szCs w:val="18"/>
              </w:rPr>
              <w:t xml:space="preserve">C warming target relative to pre-industrial levels, not relative to early-industrial levels. </w:t>
            </w:r>
          </w:p>
        </w:tc>
        <w:tc>
          <w:tcPr>
            <w:tcW w:w="1787" w:type="dxa"/>
          </w:tcPr>
          <w:p w14:paraId="31F94B20" w14:textId="77777777" w:rsidR="00715F45" w:rsidRPr="00AF63D7" w:rsidRDefault="00715F45" w:rsidP="006B06BB">
            <w:pPr>
              <w:jc w:val="left"/>
              <w:rPr>
                <w:sz w:val="18"/>
                <w:szCs w:val="18"/>
              </w:rPr>
            </w:pPr>
            <w:r w:rsidRPr="00AF63D7">
              <w:rPr>
                <w:sz w:val="18"/>
                <w:szCs w:val="18"/>
              </w:rPr>
              <w:t>The remaining carbo</w:t>
            </w:r>
            <w:r>
              <w:rPr>
                <w:sz w:val="18"/>
                <w:szCs w:val="18"/>
              </w:rPr>
              <w:t>n</w:t>
            </w:r>
            <w:r w:rsidRPr="00AF63D7">
              <w:rPr>
                <w:sz w:val="18"/>
                <w:szCs w:val="18"/>
              </w:rPr>
              <w:t xml:space="preserve"> budget from Jan </w:t>
            </w:r>
            <w:r>
              <w:rPr>
                <w:sz w:val="18"/>
                <w:szCs w:val="18"/>
              </w:rPr>
              <w:t>2013</w:t>
            </w:r>
            <w:r w:rsidRPr="00AF63D7">
              <w:rPr>
                <w:sz w:val="18"/>
                <w:szCs w:val="18"/>
              </w:rPr>
              <w:t xml:space="preserve"> onwards for a 50% warming to stay below 1.5</w:t>
            </w:r>
            <w:r>
              <w:rPr>
                <w:rFonts w:cstheme="minorHAnsi"/>
                <w:sz w:val="18"/>
                <w:szCs w:val="18"/>
              </w:rPr>
              <w:t>°</w:t>
            </w:r>
            <w:r w:rsidRPr="00AF63D7">
              <w:rPr>
                <w:sz w:val="18"/>
                <w:szCs w:val="18"/>
              </w:rPr>
              <w:t xml:space="preserve">C warming relative to </w:t>
            </w:r>
            <w:r>
              <w:rPr>
                <w:sz w:val="18"/>
                <w:szCs w:val="18"/>
              </w:rPr>
              <w:t>pre-industrial levels</w:t>
            </w:r>
            <w:r w:rsidRPr="00AF63D7">
              <w:rPr>
                <w:sz w:val="18"/>
                <w:szCs w:val="18"/>
              </w:rPr>
              <w:t>.</w:t>
            </w:r>
          </w:p>
        </w:tc>
      </w:tr>
    </w:tbl>
    <w:p w14:paraId="32D5DC09" w14:textId="77F7FB12" w:rsidR="00715F45" w:rsidRDefault="00715F45" w:rsidP="006C42AA">
      <w:pPr>
        <w:rPr>
          <w:u w:val="single"/>
        </w:rPr>
      </w:pPr>
    </w:p>
    <w:p w14:paraId="7F67EC27" w14:textId="23755D8C" w:rsidR="00715F45" w:rsidRDefault="00715F45" w:rsidP="006C42AA">
      <w:pPr>
        <w:rPr>
          <w:u w:val="single"/>
        </w:rPr>
      </w:pPr>
      <w:r>
        <w:rPr>
          <w:u w:val="single"/>
        </w:rPr>
        <w:t xml:space="preserve">Step 2 </w:t>
      </w:r>
      <w:r w:rsidR="009E18F5">
        <w:rPr>
          <w:u w:val="single"/>
        </w:rPr>
        <w:t>however</w:t>
      </w:r>
      <w:r>
        <w:rPr>
          <w:u w:val="single"/>
        </w:rPr>
        <w:t xml:space="preserve"> adjusts to: </w:t>
      </w:r>
    </w:p>
    <w:tbl>
      <w:tblPr>
        <w:tblStyle w:val="TableGrid"/>
        <w:tblW w:w="9073" w:type="dxa"/>
        <w:tblLook w:val="04A0" w:firstRow="1" w:lastRow="0" w:firstColumn="1" w:lastColumn="0" w:noHBand="0" w:noVBand="1"/>
      </w:tblPr>
      <w:tblGrid>
        <w:gridCol w:w="2694"/>
        <w:gridCol w:w="3687"/>
        <w:gridCol w:w="2692"/>
      </w:tblGrid>
      <w:tr w:rsidR="00715F45" w:rsidRPr="00AF63D7" w14:paraId="4BADA5E2" w14:textId="77777777" w:rsidTr="006B06BB">
        <w:tc>
          <w:tcPr>
            <w:tcW w:w="2694" w:type="dxa"/>
          </w:tcPr>
          <w:p w14:paraId="50434881" w14:textId="4F86DF39" w:rsidR="00715F45" w:rsidRPr="00AF63D7" w:rsidRDefault="00715F45" w:rsidP="006B06BB">
            <w:pPr>
              <w:rPr>
                <w:b/>
                <w:sz w:val="24"/>
              </w:rPr>
            </w:pPr>
            <w:r>
              <w:rPr>
                <w:b/>
                <w:sz w:val="24"/>
              </w:rPr>
              <w:t>50</w:t>
            </w:r>
            <w:r w:rsidRPr="00AF63D7">
              <w:rPr>
                <w:b/>
                <w:sz w:val="24"/>
              </w:rPr>
              <w:t>0 GtCO</w:t>
            </w:r>
            <w:r w:rsidRPr="00AF63D7">
              <w:rPr>
                <w:b/>
                <w:sz w:val="24"/>
                <w:vertAlign w:val="subscript"/>
              </w:rPr>
              <w:t>2</w:t>
            </w:r>
          </w:p>
        </w:tc>
        <w:tc>
          <w:tcPr>
            <w:tcW w:w="3687" w:type="dxa"/>
          </w:tcPr>
          <w:p w14:paraId="40416A1C" w14:textId="2D6B00FE" w:rsidR="00715F45" w:rsidRPr="00AF63D7" w:rsidRDefault="00715F45" w:rsidP="006B06BB">
            <w:pPr>
              <w:rPr>
                <w:b/>
                <w:sz w:val="24"/>
              </w:rPr>
            </w:pPr>
            <w:r w:rsidRPr="00AF63D7">
              <w:rPr>
                <w:b/>
                <w:sz w:val="24"/>
              </w:rPr>
              <w:t>+</w:t>
            </w:r>
            <w:r>
              <w:rPr>
                <w:b/>
                <w:sz w:val="24"/>
              </w:rPr>
              <w:t>100</w:t>
            </w:r>
            <w:r w:rsidRPr="00AF63D7">
              <w:rPr>
                <w:b/>
                <w:sz w:val="24"/>
              </w:rPr>
              <w:t xml:space="preserve"> GtCO</w:t>
            </w:r>
            <w:r w:rsidRPr="00AF63D7">
              <w:rPr>
                <w:b/>
                <w:sz w:val="24"/>
                <w:vertAlign w:val="subscript"/>
              </w:rPr>
              <w:t>2</w:t>
            </w:r>
          </w:p>
        </w:tc>
        <w:tc>
          <w:tcPr>
            <w:tcW w:w="2692" w:type="dxa"/>
          </w:tcPr>
          <w:p w14:paraId="28908792" w14:textId="0C8FC342" w:rsidR="00715F45" w:rsidRPr="00AF63D7" w:rsidRDefault="00715F45" w:rsidP="006B06BB">
            <w:pPr>
              <w:rPr>
                <w:b/>
                <w:sz w:val="24"/>
              </w:rPr>
            </w:pPr>
            <w:r>
              <w:rPr>
                <w:b/>
                <w:sz w:val="24"/>
              </w:rPr>
              <w:t>= 600 GtCO</w:t>
            </w:r>
            <w:r w:rsidRPr="00AE5343">
              <w:rPr>
                <w:b/>
                <w:sz w:val="24"/>
                <w:vertAlign w:val="subscript"/>
              </w:rPr>
              <w:t>2</w:t>
            </w:r>
          </w:p>
        </w:tc>
      </w:tr>
      <w:tr w:rsidR="00715F45" w:rsidRPr="00AF63D7" w14:paraId="0A2927D5" w14:textId="77777777" w:rsidTr="006B06BB">
        <w:tc>
          <w:tcPr>
            <w:tcW w:w="2694" w:type="dxa"/>
          </w:tcPr>
          <w:p w14:paraId="5FC1B1A1" w14:textId="77777777" w:rsidR="00715F45" w:rsidRPr="00AF63D7" w:rsidRDefault="00715F45" w:rsidP="006B06BB">
            <w:pPr>
              <w:jc w:val="left"/>
              <w:rPr>
                <w:sz w:val="18"/>
                <w:szCs w:val="18"/>
              </w:rPr>
            </w:pPr>
            <w:r w:rsidRPr="00AF63D7">
              <w:rPr>
                <w:sz w:val="18"/>
                <w:szCs w:val="18"/>
              </w:rPr>
              <w:t>The remaining carbo</w:t>
            </w:r>
            <w:r>
              <w:rPr>
                <w:sz w:val="18"/>
                <w:szCs w:val="18"/>
              </w:rPr>
              <w:t>n</w:t>
            </w:r>
            <w:r w:rsidRPr="00AF63D7">
              <w:rPr>
                <w:sz w:val="18"/>
                <w:szCs w:val="18"/>
              </w:rPr>
              <w:t xml:space="preserve"> budget from Jan </w:t>
            </w:r>
            <w:r>
              <w:rPr>
                <w:sz w:val="18"/>
                <w:szCs w:val="18"/>
              </w:rPr>
              <w:t>2013</w:t>
            </w:r>
            <w:r w:rsidRPr="00AF63D7">
              <w:rPr>
                <w:sz w:val="18"/>
                <w:szCs w:val="18"/>
              </w:rPr>
              <w:t xml:space="preserve"> </w:t>
            </w:r>
            <w:r w:rsidRPr="004D244F">
              <w:rPr>
                <w:i/>
                <w:sz w:val="18"/>
                <w:szCs w:val="18"/>
              </w:rPr>
              <w:t>until 2100</w:t>
            </w:r>
            <w:r>
              <w:rPr>
                <w:sz w:val="18"/>
                <w:szCs w:val="18"/>
              </w:rPr>
              <w:t xml:space="preserve"> </w:t>
            </w:r>
            <w:r w:rsidRPr="00AF63D7">
              <w:rPr>
                <w:sz w:val="18"/>
                <w:szCs w:val="18"/>
              </w:rPr>
              <w:t>for a 50% warming to stay below 1.5</w:t>
            </w:r>
            <w:r>
              <w:rPr>
                <w:rFonts w:cstheme="minorHAnsi"/>
                <w:sz w:val="18"/>
                <w:szCs w:val="18"/>
              </w:rPr>
              <w:t>°</w:t>
            </w:r>
            <w:r w:rsidRPr="00AF63D7">
              <w:rPr>
                <w:sz w:val="18"/>
                <w:szCs w:val="18"/>
              </w:rPr>
              <w:t xml:space="preserve">C warming relative to </w:t>
            </w:r>
            <w:r>
              <w:rPr>
                <w:sz w:val="18"/>
                <w:szCs w:val="18"/>
              </w:rPr>
              <w:t>pre-industrial levels</w:t>
            </w:r>
            <w:r w:rsidRPr="00AF63D7">
              <w:rPr>
                <w:sz w:val="18"/>
                <w:szCs w:val="18"/>
              </w:rPr>
              <w:t>.</w:t>
            </w:r>
          </w:p>
        </w:tc>
        <w:tc>
          <w:tcPr>
            <w:tcW w:w="3687" w:type="dxa"/>
          </w:tcPr>
          <w:p w14:paraId="24C86839" w14:textId="2AFC0164" w:rsidR="00715F45" w:rsidRPr="00AF63D7" w:rsidRDefault="00715F45" w:rsidP="006B06BB">
            <w:pPr>
              <w:jc w:val="left"/>
              <w:rPr>
                <w:sz w:val="18"/>
                <w:szCs w:val="18"/>
              </w:rPr>
            </w:pPr>
            <w:r>
              <w:rPr>
                <w:sz w:val="18"/>
                <w:szCs w:val="18"/>
              </w:rPr>
              <w:t xml:space="preserve">It is assumed that world emissions from 2050 to 2100 exhibit a 100 GtCO2 net negative cumulative emissions </w:t>
            </w:r>
            <w:proofErr w:type="gramStart"/>
            <w:r>
              <w:rPr>
                <w:sz w:val="18"/>
                <w:szCs w:val="18"/>
              </w:rPr>
              <w:t>in order to</w:t>
            </w:r>
            <w:proofErr w:type="gramEnd"/>
            <w:r>
              <w:rPr>
                <w:sz w:val="18"/>
                <w:szCs w:val="18"/>
              </w:rPr>
              <w:t xml:space="preserve"> make up for overshooting the carbon budget by 100 GtCO2 until 2050. </w:t>
            </w:r>
          </w:p>
        </w:tc>
        <w:tc>
          <w:tcPr>
            <w:tcW w:w="2692" w:type="dxa"/>
          </w:tcPr>
          <w:p w14:paraId="37531A6A" w14:textId="77777777" w:rsidR="00715F45" w:rsidRPr="00AF63D7" w:rsidRDefault="00715F45" w:rsidP="006B06BB">
            <w:pPr>
              <w:jc w:val="left"/>
              <w:rPr>
                <w:sz w:val="18"/>
                <w:szCs w:val="18"/>
              </w:rPr>
            </w:pPr>
            <w:r w:rsidRPr="00AF63D7">
              <w:rPr>
                <w:sz w:val="18"/>
                <w:szCs w:val="18"/>
              </w:rPr>
              <w:t>The remaining carbo</w:t>
            </w:r>
            <w:r>
              <w:rPr>
                <w:sz w:val="18"/>
                <w:szCs w:val="18"/>
              </w:rPr>
              <w:t>n</w:t>
            </w:r>
            <w:r w:rsidRPr="00AF63D7">
              <w:rPr>
                <w:sz w:val="18"/>
                <w:szCs w:val="18"/>
              </w:rPr>
              <w:t xml:space="preserve"> budget from Jan </w:t>
            </w:r>
            <w:r>
              <w:rPr>
                <w:sz w:val="18"/>
                <w:szCs w:val="18"/>
              </w:rPr>
              <w:t>2013</w:t>
            </w:r>
            <w:r w:rsidRPr="00AF63D7">
              <w:rPr>
                <w:sz w:val="18"/>
                <w:szCs w:val="18"/>
              </w:rPr>
              <w:t xml:space="preserve"> </w:t>
            </w:r>
            <w:r w:rsidRPr="004D244F">
              <w:rPr>
                <w:i/>
                <w:sz w:val="18"/>
                <w:szCs w:val="18"/>
              </w:rPr>
              <w:t>until 2050</w:t>
            </w:r>
            <w:r w:rsidRPr="00AF63D7">
              <w:rPr>
                <w:sz w:val="18"/>
                <w:szCs w:val="18"/>
              </w:rPr>
              <w:t xml:space="preserve"> for a 50% warming to stay below 1.5</w:t>
            </w:r>
            <w:r>
              <w:rPr>
                <w:rFonts w:cstheme="minorHAnsi"/>
                <w:sz w:val="18"/>
                <w:szCs w:val="18"/>
              </w:rPr>
              <w:t>°</w:t>
            </w:r>
            <w:r w:rsidRPr="00AF63D7">
              <w:rPr>
                <w:sz w:val="18"/>
                <w:szCs w:val="18"/>
              </w:rPr>
              <w:t xml:space="preserve">C warming relative to </w:t>
            </w:r>
            <w:r>
              <w:rPr>
                <w:sz w:val="18"/>
                <w:szCs w:val="18"/>
              </w:rPr>
              <w:t>pre-industrial levels</w:t>
            </w:r>
            <w:r w:rsidRPr="00AF63D7">
              <w:rPr>
                <w:sz w:val="18"/>
                <w:szCs w:val="18"/>
              </w:rPr>
              <w:t>.</w:t>
            </w:r>
          </w:p>
        </w:tc>
      </w:tr>
    </w:tbl>
    <w:p w14:paraId="3D1AB4C2" w14:textId="44955722" w:rsidR="00715F45" w:rsidRDefault="00715F45" w:rsidP="006C42AA">
      <w:pPr>
        <w:rPr>
          <w:u w:val="single"/>
        </w:rPr>
      </w:pPr>
    </w:p>
    <w:p w14:paraId="303C9955" w14:textId="04086868" w:rsidR="00715F45" w:rsidRDefault="009E18F5" w:rsidP="006C42AA">
      <w:pPr>
        <w:rPr>
          <w:u w:val="single"/>
        </w:rPr>
      </w:pPr>
      <w:r>
        <w:rPr>
          <w:u w:val="single"/>
        </w:rPr>
        <w:t xml:space="preserve">Step 3 also adjusts by using the relationship shown in Figure 2. </w:t>
      </w:r>
    </w:p>
    <w:tbl>
      <w:tblPr>
        <w:tblStyle w:val="TableGrid"/>
        <w:tblW w:w="9073" w:type="dxa"/>
        <w:tblLook w:val="04A0" w:firstRow="1" w:lastRow="0" w:firstColumn="1" w:lastColumn="0" w:noHBand="0" w:noVBand="1"/>
      </w:tblPr>
      <w:tblGrid>
        <w:gridCol w:w="2694"/>
        <w:gridCol w:w="3687"/>
        <w:gridCol w:w="2692"/>
      </w:tblGrid>
      <w:tr w:rsidR="009E18F5" w:rsidRPr="00AF63D7" w14:paraId="23EC3CDE" w14:textId="77777777" w:rsidTr="006B06BB">
        <w:tc>
          <w:tcPr>
            <w:tcW w:w="2694" w:type="dxa"/>
          </w:tcPr>
          <w:p w14:paraId="1EFC5DFF" w14:textId="039E8922" w:rsidR="009E18F5" w:rsidRPr="00AF63D7" w:rsidRDefault="009E18F5" w:rsidP="006B06BB">
            <w:pPr>
              <w:rPr>
                <w:b/>
                <w:sz w:val="24"/>
              </w:rPr>
            </w:pPr>
            <w:r>
              <w:rPr>
                <w:b/>
                <w:sz w:val="24"/>
              </w:rPr>
              <w:t>60</w:t>
            </w:r>
            <w:r w:rsidRPr="00AF63D7">
              <w:rPr>
                <w:b/>
                <w:sz w:val="24"/>
              </w:rPr>
              <w:t>0 GtCO</w:t>
            </w:r>
            <w:r w:rsidRPr="00AF63D7">
              <w:rPr>
                <w:b/>
                <w:sz w:val="24"/>
                <w:vertAlign w:val="subscript"/>
              </w:rPr>
              <w:t>2</w:t>
            </w:r>
          </w:p>
        </w:tc>
        <w:tc>
          <w:tcPr>
            <w:tcW w:w="3687" w:type="dxa"/>
          </w:tcPr>
          <w:p w14:paraId="52AEB7C2" w14:textId="1113E211" w:rsidR="009E18F5" w:rsidRPr="00AF63D7" w:rsidRDefault="009E18F5" w:rsidP="006B06BB">
            <w:pPr>
              <w:rPr>
                <w:b/>
                <w:sz w:val="24"/>
              </w:rPr>
            </w:pPr>
            <w:r w:rsidRPr="00AF63D7">
              <w:rPr>
                <w:b/>
                <w:sz w:val="24"/>
              </w:rPr>
              <w:t>+</w:t>
            </w:r>
            <w:r>
              <w:rPr>
                <w:b/>
                <w:sz w:val="24"/>
              </w:rPr>
              <w:t>325</w:t>
            </w:r>
            <w:r w:rsidRPr="00AF63D7">
              <w:rPr>
                <w:b/>
                <w:sz w:val="24"/>
              </w:rPr>
              <w:t xml:space="preserve"> GtCO</w:t>
            </w:r>
            <w:r w:rsidRPr="00AF63D7">
              <w:rPr>
                <w:b/>
                <w:sz w:val="24"/>
                <w:vertAlign w:val="subscript"/>
              </w:rPr>
              <w:t>2</w:t>
            </w:r>
            <w:r>
              <w:rPr>
                <w:b/>
                <w:sz w:val="24"/>
                <w:vertAlign w:val="subscript"/>
              </w:rPr>
              <w:t>eq</w:t>
            </w:r>
          </w:p>
        </w:tc>
        <w:tc>
          <w:tcPr>
            <w:tcW w:w="2692" w:type="dxa"/>
          </w:tcPr>
          <w:p w14:paraId="13CC6931" w14:textId="68B58E92" w:rsidR="009E18F5" w:rsidRPr="00AF63D7" w:rsidRDefault="009E18F5" w:rsidP="006B06BB">
            <w:pPr>
              <w:rPr>
                <w:b/>
                <w:sz w:val="24"/>
              </w:rPr>
            </w:pPr>
            <w:r>
              <w:rPr>
                <w:b/>
                <w:sz w:val="24"/>
              </w:rPr>
              <w:t>= 925 GtCO</w:t>
            </w:r>
            <w:r w:rsidRPr="00AE5343">
              <w:rPr>
                <w:b/>
                <w:sz w:val="24"/>
                <w:vertAlign w:val="subscript"/>
              </w:rPr>
              <w:t>2</w:t>
            </w:r>
            <w:r>
              <w:rPr>
                <w:b/>
                <w:sz w:val="24"/>
                <w:vertAlign w:val="subscript"/>
              </w:rPr>
              <w:t>eq</w:t>
            </w:r>
          </w:p>
        </w:tc>
      </w:tr>
      <w:tr w:rsidR="009E18F5" w:rsidRPr="00AF63D7" w14:paraId="29819FA8" w14:textId="77777777" w:rsidTr="006B06BB">
        <w:tc>
          <w:tcPr>
            <w:tcW w:w="2694" w:type="dxa"/>
          </w:tcPr>
          <w:p w14:paraId="38E7CFBD" w14:textId="77777777" w:rsidR="009E18F5" w:rsidRPr="00AF63D7" w:rsidRDefault="009E18F5" w:rsidP="006B06BB">
            <w:pPr>
              <w:jc w:val="left"/>
              <w:rPr>
                <w:sz w:val="18"/>
                <w:szCs w:val="18"/>
              </w:rPr>
            </w:pPr>
            <w:r w:rsidRPr="00AF63D7">
              <w:rPr>
                <w:sz w:val="18"/>
                <w:szCs w:val="18"/>
              </w:rPr>
              <w:t>The remaining carbo</w:t>
            </w:r>
            <w:r>
              <w:rPr>
                <w:sz w:val="18"/>
                <w:szCs w:val="18"/>
              </w:rPr>
              <w:t>n</w:t>
            </w:r>
            <w:r w:rsidRPr="00AF63D7">
              <w:rPr>
                <w:sz w:val="18"/>
                <w:szCs w:val="18"/>
              </w:rPr>
              <w:t xml:space="preserve"> budget from Jan </w:t>
            </w:r>
            <w:r>
              <w:rPr>
                <w:sz w:val="18"/>
                <w:szCs w:val="18"/>
              </w:rPr>
              <w:t>2013</w:t>
            </w:r>
            <w:r w:rsidRPr="00AF63D7">
              <w:rPr>
                <w:sz w:val="18"/>
                <w:szCs w:val="18"/>
              </w:rPr>
              <w:t xml:space="preserve"> </w:t>
            </w:r>
            <w:r w:rsidRPr="004D244F">
              <w:rPr>
                <w:i/>
                <w:sz w:val="18"/>
                <w:szCs w:val="18"/>
              </w:rPr>
              <w:t xml:space="preserve">until </w:t>
            </w:r>
            <w:r>
              <w:rPr>
                <w:i/>
                <w:sz w:val="18"/>
                <w:szCs w:val="18"/>
              </w:rPr>
              <w:t>2050</w:t>
            </w:r>
            <w:r>
              <w:rPr>
                <w:sz w:val="18"/>
                <w:szCs w:val="18"/>
              </w:rPr>
              <w:t xml:space="preserve"> </w:t>
            </w:r>
            <w:r w:rsidRPr="00AF63D7">
              <w:rPr>
                <w:sz w:val="18"/>
                <w:szCs w:val="18"/>
              </w:rPr>
              <w:t>for a 50% warming to stay below 1.5</w:t>
            </w:r>
            <w:r>
              <w:rPr>
                <w:rFonts w:cstheme="minorHAnsi"/>
                <w:sz w:val="18"/>
                <w:szCs w:val="18"/>
              </w:rPr>
              <w:t>°</w:t>
            </w:r>
            <w:r w:rsidRPr="00AF63D7">
              <w:rPr>
                <w:sz w:val="18"/>
                <w:szCs w:val="18"/>
              </w:rPr>
              <w:t xml:space="preserve">C warming relative to </w:t>
            </w:r>
            <w:r>
              <w:rPr>
                <w:sz w:val="18"/>
                <w:szCs w:val="18"/>
              </w:rPr>
              <w:t xml:space="preserve">pre-industrial levels as derived above. </w:t>
            </w:r>
          </w:p>
        </w:tc>
        <w:tc>
          <w:tcPr>
            <w:tcW w:w="3687" w:type="dxa"/>
          </w:tcPr>
          <w:p w14:paraId="30195D41" w14:textId="77777777" w:rsidR="009E18F5" w:rsidRPr="00AF63D7" w:rsidRDefault="009E18F5" w:rsidP="006B06BB">
            <w:pPr>
              <w:jc w:val="left"/>
              <w:rPr>
                <w:sz w:val="18"/>
                <w:szCs w:val="18"/>
              </w:rPr>
            </w:pPr>
            <w:r>
              <w:rPr>
                <w:sz w:val="18"/>
                <w:szCs w:val="18"/>
              </w:rPr>
              <w:t>Additional non-CO</w:t>
            </w:r>
            <w:r w:rsidRPr="008D4FC5">
              <w:rPr>
                <w:sz w:val="18"/>
                <w:szCs w:val="18"/>
                <w:vertAlign w:val="subscript"/>
              </w:rPr>
              <w:t>2</w:t>
            </w:r>
            <w:r>
              <w:rPr>
                <w:sz w:val="18"/>
                <w:szCs w:val="18"/>
              </w:rPr>
              <w:t xml:space="preserve"> greenhouse gas emissions until 2050 corresponding to that 1.5</w:t>
            </w:r>
            <w:r>
              <w:rPr>
                <w:rFonts w:cstheme="minorHAnsi"/>
                <w:sz w:val="18"/>
                <w:szCs w:val="18"/>
              </w:rPr>
              <w:t>°</w:t>
            </w:r>
            <w:r>
              <w:rPr>
                <w:sz w:val="18"/>
                <w:szCs w:val="18"/>
              </w:rPr>
              <w:t xml:space="preserve">C carbon budget when applied up to 2050 on the basis </w:t>
            </w:r>
            <w:proofErr w:type="gramStart"/>
            <w:r>
              <w:rPr>
                <w:sz w:val="18"/>
                <w:szCs w:val="18"/>
              </w:rPr>
              <w:t>of  411</w:t>
            </w:r>
            <w:proofErr w:type="gramEnd"/>
            <w:r>
              <w:rPr>
                <w:sz w:val="18"/>
                <w:szCs w:val="18"/>
              </w:rPr>
              <w:t xml:space="preserve"> scenarios from the Special Report on 1.5</w:t>
            </w:r>
            <w:r>
              <w:rPr>
                <w:rFonts w:cstheme="minorHAnsi"/>
                <w:sz w:val="18"/>
                <w:szCs w:val="18"/>
              </w:rPr>
              <w:t>°</w:t>
            </w:r>
            <w:r>
              <w:rPr>
                <w:sz w:val="18"/>
                <w:szCs w:val="18"/>
              </w:rPr>
              <w:t>C warming. Uncertainty of +- 100 GtCO</w:t>
            </w:r>
            <w:r w:rsidRPr="006B06BB">
              <w:rPr>
                <w:sz w:val="18"/>
                <w:szCs w:val="18"/>
                <w:vertAlign w:val="subscript"/>
              </w:rPr>
              <w:t>2</w:t>
            </w:r>
            <w:r>
              <w:rPr>
                <w:sz w:val="18"/>
                <w:szCs w:val="18"/>
              </w:rPr>
              <w:t xml:space="preserve">eq (see Figure 2 below). </w:t>
            </w:r>
          </w:p>
        </w:tc>
        <w:tc>
          <w:tcPr>
            <w:tcW w:w="2692" w:type="dxa"/>
          </w:tcPr>
          <w:p w14:paraId="581B470D" w14:textId="77777777" w:rsidR="009E18F5" w:rsidRPr="00AF63D7" w:rsidRDefault="009E18F5" w:rsidP="006B06BB">
            <w:pPr>
              <w:jc w:val="left"/>
              <w:rPr>
                <w:sz w:val="18"/>
                <w:szCs w:val="18"/>
              </w:rPr>
            </w:pPr>
            <w:r w:rsidRPr="00AF63D7">
              <w:rPr>
                <w:sz w:val="18"/>
                <w:szCs w:val="18"/>
              </w:rPr>
              <w:t xml:space="preserve">The remaining </w:t>
            </w:r>
            <w:r w:rsidRPr="008D4FC5">
              <w:rPr>
                <w:i/>
                <w:sz w:val="18"/>
                <w:szCs w:val="18"/>
              </w:rPr>
              <w:t>emission</w:t>
            </w:r>
            <w:r w:rsidRPr="00AF63D7">
              <w:rPr>
                <w:sz w:val="18"/>
                <w:szCs w:val="18"/>
              </w:rPr>
              <w:t xml:space="preserve"> budget from Jan </w:t>
            </w:r>
            <w:r>
              <w:rPr>
                <w:sz w:val="18"/>
                <w:szCs w:val="18"/>
              </w:rPr>
              <w:t>2013</w:t>
            </w:r>
            <w:r w:rsidRPr="00AF63D7">
              <w:rPr>
                <w:sz w:val="18"/>
                <w:szCs w:val="18"/>
              </w:rPr>
              <w:t xml:space="preserve"> </w:t>
            </w:r>
            <w:r w:rsidRPr="004D244F">
              <w:rPr>
                <w:i/>
                <w:sz w:val="18"/>
                <w:szCs w:val="18"/>
              </w:rPr>
              <w:t>until 2050</w:t>
            </w:r>
            <w:r w:rsidRPr="00AF63D7">
              <w:rPr>
                <w:sz w:val="18"/>
                <w:szCs w:val="18"/>
              </w:rPr>
              <w:t xml:space="preserve"> for a 50% warming to stay below 1.5</w:t>
            </w:r>
            <w:r>
              <w:rPr>
                <w:rFonts w:cstheme="minorHAnsi"/>
                <w:sz w:val="18"/>
                <w:szCs w:val="18"/>
              </w:rPr>
              <w:t>°</w:t>
            </w:r>
            <w:r w:rsidRPr="00AF63D7">
              <w:rPr>
                <w:sz w:val="18"/>
                <w:szCs w:val="18"/>
              </w:rPr>
              <w:t xml:space="preserve">C warming relative to </w:t>
            </w:r>
            <w:r>
              <w:rPr>
                <w:sz w:val="18"/>
                <w:szCs w:val="18"/>
              </w:rPr>
              <w:t>pre-industrial levels</w:t>
            </w:r>
            <w:r w:rsidRPr="00AF63D7">
              <w:rPr>
                <w:sz w:val="18"/>
                <w:szCs w:val="18"/>
              </w:rPr>
              <w:t>.</w:t>
            </w:r>
          </w:p>
        </w:tc>
      </w:tr>
    </w:tbl>
    <w:p w14:paraId="519A13F4" w14:textId="77777777" w:rsidR="009E18F5" w:rsidRDefault="009E18F5" w:rsidP="006C42AA">
      <w:pPr>
        <w:rPr>
          <w:u w:val="single"/>
        </w:rPr>
      </w:pPr>
    </w:p>
    <w:p w14:paraId="66ECAB23" w14:textId="0D0120FB" w:rsidR="00715F45" w:rsidRDefault="009E18F5" w:rsidP="006C42AA">
      <w:pPr>
        <w:rPr>
          <w:u w:val="single"/>
        </w:rPr>
      </w:pPr>
      <w:r>
        <w:rPr>
          <w:u w:val="single"/>
        </w:rPr>
        <w:t xml:space="preserve">Step 4, the calculation of the Australian budget then becomes: </w:t>
      </w:r>
    </w:p>
    <w:tbl>
      <w:tblPr>
        <w:tblStyle w:val="TableGrid"/>
        <w:tblW w:w="9351" w:type="dxa"/>
        <w:tblLook w:val="04A0" w:firstRow="1" w:lastRow="0" w:firstColumn="1" w:lastColumn="0" w:noHBand="0" w:noVBand="1"/>
      </w:tblPr>
      <w:tblGrid>
        <w:gridCol w:w="2694"/>
        <w:gridCol w:w="1554"/>
        <w:gridCol w:w="2268"/>
        <w:gridCol w:w="2835"/>
      </w:tblGrid>
      <w:tr w:rsidR="009E18F5" w:rsidRPr="00AF63D7" w14:paraId="0E9130C8" w14:textId="77777777" w:rsidTr="006B06BB">
        <w:tc>
          <w:tcPr>
            <w:tcW w:w="2694" w:type="dxa"/>
          </w:tcPr>
          <w:p w14:paraId="5CD84BB2" w14:textId="3B6015B2" w:rsidR="009E18F5" w:rsidRPr="00AF63D7" w:rsidRDefault="009E18F5" w:rsidP="006B06BB">
            <w:pPr>
              <w:rPr>
                <w:b/>
                <w:sz w:val="24"/>
              </w:rPr>
            </w:pPr>
            <w:r>
              <w:rPr>
                <w:b/>
                <w:sz w:val="24"/>
              </w:rPr>
              <w:t>(925</w:t>
            </w:r>
            <w:r w:rsidRPr="00AF63D7">
              <w:rPr>
                <w:b/>
                <w:sz w:val="24"/>
              </w:rPr>
              <w:t xml:space="preserve"> GtCO</w:t>
            </w:r>
            <w:r w:rsidRPr="00AF63D7">
              <w:rPr>
                <w:b/>
                <w:sz w:val="24"/>
                <w:vertAlign w:val="subscript"/>
              </w:rPr>
              <w:t>2</w:t>
            </w:r>
          </w:p>
        </w:tc>
        <w:tc>
          <w:tcPr>
            <w:tcW w:w="1554" w:type="dxa"/>
          </w:tcPr>
          <w:p w14:paraId="70DCE3C5" w14:textId="77777777" w:rsidR="009E18F5" w:rsidRPr="004525C8" w:rsidRDefault="009E18F5" w:rsidP="006B06BB">
            <w:pPr>
              <w:rPr>
                <w:b/>
                <w:sz w:val="24"/>
              </w:rPr>
            </w:pPr>
            <w:r>
              <w:rPr>
                <w:b/>
                <w:sz w:val="24"/>
              </w:rPr>
              <w:t>x 0.97</w:t>
            </w:r>
            <w:proofErr w:type="gramStart"/>
            <w:r>
              <w:rPr>
                <w:b/>
                <w:sz w:val="24"/>
              </w:rPr>
              <w:t>% )</w:t>
            </w:r>
            <w:proofErr w:type="gramEnd"/>
          </w:p>
        </w:tc>
        <w:tc>
          <w:tcPr>
            <w:tcW w:w="2268" w:type="dxa"/>
          </w:tcPr>
          <w:p w14:paraId="651B0349" w14:textId="77777777" w:rsidR="009E18F5" w:rsidRPr="00D175FE" w:rsidRDefault="009E18F5" w:rsidP="006B06BB">
            <w:pPr>
              <w:rPr>
                <w:b/>
                <w:sz w:val="24"/>
              </w:rPr>
            </w:pPr>
            <w:r w:rsidRPr="00945509">
              <w:rPr>
                <w:b/>
                <w:sz w:val="24"/>
              </w:rPr>
              <w:t>-</w:t>
            </w:r>
            <w:r>
              <w:rPr>
                <w:b/>
                <w:sz w:val="24"/>
              </w:rPr>
              <w:t xml:space="preserve"> 2.3 GtCO</w:t>
            </w:r>
            <w:r w:rsidRPr="00D175FE">
              <w:rPr>
                <w:b/>
                <w:sz w:val="24"/>
                <w:vertAlign w:val="subscript"/>
              </w:rPr>
              <w:t>2</w:t>
            </w:r>
          </w:p>
        </w:tc>
        <w:tc>
          <w:tcPr>
            <w:tcW w:w="2835" w:type="dxa"/>
          </w:tcPr>
          <w:p w14:paraId="5859F823" w14:textId="048ECC1F" w:rsidR="009E18F5" w:rsidRPr="00AF63D7" w:rsidRDefault="009E18F5" w:rsidP="006B06BB">
            <w:pPr>
              <w:rPr>
                <w:b/>
                <w:sz w:val="24"/>
              </w:rPr>
            </w:pPr>
            <w:r>
              <w:rPr>
                <w:b/>
                <w:sz w:val="24"/>
              </w:rPr>
              <w:t>= 6.7 GtCO</w:t>
            </w:r>
            <w:r w:rsidRPr="00AE5343">
              <w:rPr>
                <w:b/>
                <w:sz w:val="24"/>
                <w:vertAlign w:val="subscript"/>
              </w:rPr>
              <w:t>2</w:t>
            </w:r>
            <w:r>
              <w:rPr>
                <w:b/>
                <w:sz w:val="24"/>
                <w:vertAlign w:val="subscript"/>
              </w:rPr>
              <w:t>eq</w:t>
            </w:r>
          </w:p>
        </w:tc>
      </w:tr>
      <w:tr w:rsidR="009E18F5" w:rsidRPr="00AF63D7" w14:paraId="6124F92F" w14:textId="77777777" w:rsidTr="006B06BB">
        <w:tc>
          <w:tcPr>
            <w:tcW w:w="2694" w:type="dxa"/>
          </w:tcPr>
          <w:p w14:paraId="730928DE" w14:textId="77777777" w:rsidR="009E18F5" w:rsidRPr="00AF63D7" w:rsidRDefault="009E18F5" w:rsidP="006B06BB">
            <w:pPr>
              <w:jc w:val="left"/>
              <w:rPr>
                <w:sz w:val="18"/>
                <w:szCs w:val="18"/>
              </w:rPr>
            </w:pPr>
            <w:r w:rsidRPr="00AF63D7">
              <w:rPr>
                <w:sz w:val="18"/>
                <w:szCs w:val="18"/>
              </w:rPr>
              <w:t xml:space="preserve">The remaining </w:t>
            </w:r>
            <w:r>
              <w:rPr>
                <w:sz w:val="18"/>
                <w:szCs w:val="18"/>
              </w:rPr>
              <w:t>global emission</w:t>
            </w:r>
            <w:r w:rsidRPr="00AF63D7">
              <w:rPr>
                <w:sz w:val="18"/>
                <w:szCs w:val="18"/>
              </w:rPr>
              <w:t xml:space="preserve"> budget from Jan </w:t>
            </w:r>
            <w:r>
              <w:rPr>
                <w:sz w:val="18"/>
                <w:szCs w:val="18"/>
              </w:rPr>
              <w:t>2013</w:t>
            </w:r>
            <w:r w:rsidRPr="00AF63D7">
              <w:rPr>
                <w:sz w:val="18"/>
                <w:szCs w:val="18"/>
              </w:rPr>
              <w:t xml:space="preserve"> </w:t>
            </w:r>
            <w:r w:rsidRPr="004D244F">
              <w:rPr>
                <w:i/>
                <w:sz w:val="18"/>
                <w:szCs w:val="18"/>
              </w:rPr>
              <w:t xml:space="preserve">until </w:t>
            </w:r>
            <w:r>
              <w:rPr>
                <w:i/>
                <w:sz w:val="18"/>
                <w:szCs w:val="18"/>
              </w:rPr>
              <w:t>2050</w:t>
            </w:r>
            <w:r>
              <w:rPr>
                <w:sz w:val="18"/>
                <w:szCs w:val="18"/>
              </w:rPr>
              <w:t xml:space="preserve"> </w:t>
            </w:r>
            <w:r w:rsidRPr="00AF63D7">
              <w:rPr>
                <w:sz w:val="18"/>
                <w:szCs w:val="18"/>
              </w:rPr>
              <w:t>for a 50% warming to stay below 1.5</w:t>
            </w:r>
            <w:r>
              <w:rPr>
                <w:rFonts w:cstheme="minorHAnsi"/>
                <w:sz w:val="18"/>
                <w:szCs w:val="18"/>
              </w:rPr>
              <w:t>°</w:t>
            </w:r>
            <w:r w:rsidRPr="00AF63D7">
              <w:rPr>
                <w:sz w:val="18"/>
                <w:szCs w:val="18"/>
              </w:rPr>
              <w:t xml:space="preserve">C warming relative to </w:t>
            </w:r>
            <w:r>
              <w:rPr>
                <w:sz w:val="18"/>
                <w:szCs w:val="18"/>
              </w:rPr>
              <w:t xml:space="preserve">pre-industrial levels as derived above. </w:t>
            </w:r>
          </w:p>
        </w:tc>
        <w:tc>
          <w:tcPr>
            <w:tcW w:w="1554" w:type="dxa"/>
          </w:tcPr>
          <w:p w14:paraId="4171C00A" w14:textId="77777777" w:rsidR="009E18F5" w:rsidRPr="00AF63D7" w:rsidRDefault="009E18F5" w:rsidP="006B06BB">
            <w:pPr>
              <w:jc w:val="left"/>
              <w:rPr>
                <w:sz w:val="18"/>
                <w:szCs w:val="18"/>
              </w:rPr>
            </w:pPr>
            <w:r>
              <w:rPr>
                <w:sz w:val="18"/>
                <w:szCs w:val="18"/>
              </w:rPr>
              <w:t xml:space="preserve">The assumed Australian share of the 2013 to 2050 emission budget.  </w:t>
            </w:r>
          </w:p>
        </w:tc>
        <w:tc>
          <w:tcPr>
            <w:tcW w:w="2268" w:type="dxa"/>
          </w:tcPr>
          <w:p w14:paraId="43E10EFB" w14:textId="77777777" w:rsidR="009E18F5" w:rsidRPr="00AF63D7" w:rsidRDefault="009E18F5" w:rsidP="006B06BB">
            <w:pPr>
              <w:jc w:val="left"/>
              <w:rPr>
                <w:sz w:val="18"/>
                <w:szCs w:val="18"/>
              </w:rPr>
            </w:pPr>
            <w:r>
              <w:rPr>
                <w:sz w:val="18"/>
                <w:szCs w:val="18"/>
              </w:rPr>
              <w:t>The Australian emissions over 2013-2016 (same assumption as in Meinshausen et al., 2018)</w:t>
            </w:r>
          </w:p>
        </w:tc>
        <w:tc>
          <w:tcPr>
            <w:tcW w:w="2835" w:type="dxa"/>
          </w:tcPr>
          <w:p w14:paraId="2C089ABC" w14:textId="77777777" w:rsidR="009E18F5" w:rsidRPr="00AF63D7" w:rsidRDefault="009E18F5" w:rsidP="006B06BB">
            <w:pPr>
              <w:jc w:val="left"/>
              <w:rPr>
                <w:sz w:val="18"/>
                <w:szCs w:val="18"/>
              </w:rPr>
            </w:pPr>
            <w:r w:rsidRPr="00AF63D7">
              <w:rPr>
                <w:sz w:val="18"/>
                <w:szCs w:val="18"/>
              </w:rPr>
              <w:t xml:space="preserve">The remaining </w:t>
            </w:r>
            <w:r>
              <w:rPr>
                <w:sz w:val="18"/>
                <w:szCs w:val="18"/>
              </w:rPr>
              <w:t xml:space="preserve">Australian </w:t>
            </w:r>
            <w:r w:rsidRPr="008D4FC5">
              <w:rPr>
                <w:i/>
                <w:sz w:val="18"/>
                <w:szCs w:val="18"/>
              </w:rPr>
              <w:t>emission</w:t>
            </w:r>
            <w:r w:rsidRPr="00AF63D7">
              <w:rPr>
                <w:sz w:val="18"/>
                <w:szCs w:val="18"/>
              </w:rPr>
              <w:t xml:space="preserve"> budget from Jan </w:t>
            </w:r>
            <w:r>
              <w:rPr>
                <w:sz w:val="18"/>
                <w:szCs w:val="18"/>
              </w:rPr>
              <w:t>2017</w:t>
            </w:r>
            <w:r w:rsidRPr="00AF63D7">
              <w:rPr>
                <w:sz w:val="18"/>
                <w:szCs w:val="18"/>
              </w:rPr>
              <w:t xml:space="preserve"> </w:t>
            </w:r>
            <w:r w:rsidRPr="004D244F">
              <w:rPr>
                <w:i/>
                <w:sz w:val="18"/>
                <w:szCs w:val="18"/>
              </w:rPr>
              <w:t>until 2050</w:t>
            </w:r>
            <w:r w:rsidRPr="00AF63D7">
              <w:rPr>
                <w:sz w:val="18"/>
                <w:szCs w:val="18"/>
              </w:rPr>
              <w:t xml:space="preserve"> for a 50% warming to stay below 1.5</w:t>
            </w:r>
            <w:r>
              <w:rPr>
                <w:rFonts w:cstheme="minorHAnsi"/>
                <w:sz w:val="18"/>
                <w:szCs w:val="18"/>
              </w:rPr>
              <w:t>°</w:t>
            </w:r>
            <w:r w:rsidRPr="00AF63D7">
              <w:rPr>
                <w:sz w:val="18"/>
                <w:szCs w:val="18"/>
              </w:rPr>
              <w:t xml:space="preserve">C warming relative to </w:t>
            </w:r>
            <w:r>
              <w:rPr>
                <w:sz w:val="18"/>
                <w:szCs w:val="18"/>
              </w:rPr>
              <w:t>pre-industrial levels</w:t>
            </w:r>
            <w:r w:rsidRPr="00AF63D7">
              <w:rPr>
                <w:sz w:val="18"/>
                <w:szCs w:val="18"/>
              </w:rPr>
              <w:t>.</w:t>
            </w:r>
          </w:p>
        </w:tc>
      </w:tr>
    </w:tbl>
    <w:p w14:paraId="7F5AE38B" w14:textId="6EAF87C7" w:rsidR="009E18F5" w:rsidRDefault="009E18F5" w:rsidP="006C42AA">
      <w:pPr>
        <w:rPr>
          <w:u w:val="single"/>
        </w:rPr>
      </w:pPr>
      <w:r>
        <w:rPr>
          <w:u w:val="single"/>
        </w:rPr>
        <w:lastRenderedPageBreak/>
        <w:t xml:space="preserve">And the last step, Step 5 then becomes: </w:t>
      </w:r>
    </w:p>
    <w:tbl>
      <w:tblPr>
        <w:tblStyle w:val="TableGrid"/>
        <w:tblW w:w="8359" w:type="dxa"/>
        <w:tblLook w:val="04A0" w:firstRow="1" w:lastRow="0" w:firstColumn="1" w:lastColumn="0" w:noHBand="0" w:noVBand="1"/>
      </w:tblPr>
      <w:tblGrid>
        <w:gridCol w:w="3397"/>
        <w:gridCol w:w="1985"/>
        <w:gridCol w:w="2977"/>
      </w:tblGrid>
      <w:tr w:rsidR="009E18F5" w:rsidRPr="00AF63D7" w14:paraId="0350F9F6" w14:textId="77777777" w:rsidTr="006B06BB">
        <w:tc>
          <w:tcPr>
            <w:tcW w:w="3397" w:type="dxa"/>
          </w:tcPr>
          <w:p w14:paraId="2D42038E" w14:textId="30AF0694" w:rsidR="009E18F5" w:rsidRPr="00D175FE" w:rsidRDefault="009E18F5" w:rsidP="006B06BB">
            <w:pPr>
              <w:rPr>
                <w:b/>
                <w:sz w:val="24"/>
              </w:rPr>
            </w:pPr>
            <w:r>
              <w:rPr>
                <w:b/>
                <w:sz w:val="24"/>
              </w:rPr>
              <w:t>(</w:t>
            </w:r>
            <w:proofErr w:type="gramStart"/>
            <w:r>
              <w:rPr>
                <w:b/>
                <w:sz w:val="24"/>
              </w:rPr>
              <w:t xml:space="preserve">6.7  </w:t>
            </w:r>
            <w:r w:rsidRPr="00D175FE">
              <w:rPr>
                <w:b/>
                <w:sz w:val="24"/>
              </w:rPr>
              <w:t>GtCO</w:t>
            </w:r>
            <w:proofErr w:type="gramEnd"/>
            <w:r w:rsidRPr="00D175FE">
              <w:rPr>
                <w:b/>
                <w:sz w:val="24"/>
                <w:vertAlign w:val="subscript"/>
              </w:rPr>
              <w:t>2eq</w:t>
            </w:r>
          </w:p>
        </w:tc>
        <w:tc>
          <w:tcPr>
            <w:tcW w:w="1985" w:type="dxa"/>
          </w:tcPr>
          <w:p w14:paraId="588F19EE" w14:textId="77777777" w:rsidR="009E18F5" w:rsidRPr="00AF63D7" w:rsidRDefault="009E18F5" w:rsidP="006B06BB">
            <w:pPr>
              <w:rPr>
                <w:b/>
                <w:sz w:val="24"/>
              </w:rPr>
            </w:pPr>
            <w:r>
              <w:rPr>
                <w:b/>
                <w:sz w:val="24"/>
              </w:rPr>
              <w:t>x 23%)</w:t>
            </w:r>
          </w:p>
        </w:tc>
        <w:tc>
          <w:tcPr>
            <w:tcW w:w="2977" w:type="dxa"/>
          </w:tcPr>
          <w:p w14:paraId="04E293E9" w14:textId="0AC02610" w:rsidR="009E18F5" w:rsidRPr="00AF63D7" w:rsidRDefault="009E18F5" w:rsidP="006B06BB">
            <w:pPr>
              <w:rPr>
                <w:b/>
                <w:sz w:val="24"/>
              </w:rPr>
            </w:pPr>
            <w:r>
              <w:rPr>
                <w:b/>
                <w:sz w:val="24"/>
              </w:rPr>
              <w:t>= 1.53 GtCO</w:t>
            </w:r>
            <w:r w:rsidRPr="00AE5343">
              <w:rPr>
                <w:b/>
                <w:sz w:val="24"/>
                <w:vertAlign w:val="subscript"/>
              </w:rPr>
              <w:t>2</w:t>
            </w:r>
            <w:r>
              <w:rPr>
                <w:b/>
                <w:sz w:val="24"/>
                <w:vertAlign w:val="subscript"/>
              </w:rPr>
              <w:t>eq</w:t>
            </w:r>
          </w:p>
        </w:tc>
      </w:tr>
      <w:tr w:rsidR="009E18F5" w:rsidRPr="00D175FE" w14:paraId="31BE1479" w14:textId="77777777" w:rsidTr="006B06BB">
        <w:tc>
          <w:tcPr>
            <w:tcW w:w="3397" w:type="dxa"/>
          </w:tcPr>
          <w:p w14:paraId="5491FB34" w14:textId="77777777" w:rsidR="009E18F5" w:rsidRPr="00D175FE" w:rsidRDefault="009E18F5" w:rsidP="006B06BB">
            <w:pPr>
              <w:jc w:val="left"/>
              <w:rPr>
                <w:sz w:val="18"/>
                <w:szCs w:val="18"/>
              </w:rPr>
            </w:pPr>
            <w:r w:rsidRPr="00D175FE">
              <w:rPr>
                <w:sz w:val="18"/>
                <w:szCs w:val="18"/>
              </w:rPr>
              <w:t xml:space="preserve">The remaining Australian </w:t>
            </w:r>
            <w:r w:rsidRPr="00D175FE">
              <w:rPr>
                <w:i/>
                <w:sz w:val="18"/>
                <w:szCs w:val="18"/>
              </w:rPr>
              <w:t>emission</w:t>
            </w:r>
            <w:r w:rsidRPr="00D175FE">
              <w:rPr>
                <w:sz w:val="18"/>
                <w:szCs w:val="18"/>
              </w:rPr>
              <w:t xml:space="preserve"> budget from January 2017 </w:t>
            </w:r>
            <w:r w:rsidRPr="00D175FE">
              <w:rPr>
                <w:i/>
                <w:sz w:val="18"/>
                <w:szCs w:val="18"/>
              </w:rPr>
              <w:t>until 2050</w:t>
            </w:r>
            <w:r w:rsidRPr="00D175FE">
              <w:rPr>
                <w:sz w:val="18"/>
                <w:szCs w:val="18"/>
              </w:rPr>
              <w:t xml:space="preserve"> for a 50% warming to stay below 1.5</w:t>
            </w:r>
            <w:r w:rsidRPr="00D175FE">
              <w:rPr>
                <w:rFonts w:cstheme="minorHAnsi"/>
                <w:sz w:val="18"/>
                <w:szCs w:val="18"/>
              </w:rPr>
              <w:t>°</w:t>
            </w:r>
            <w:r w:rsidRPr="00D175FE">
              <w:rPr>
                <w:sz w:val="18"/>
                <w:szCs w:val="18"/>
              </w:rPr>
              <w:t>C warming relative to pre-industrial levels.</w:t>
            </w:r>
          </w:p>
        </w:tc>
        <w:tc>
          <w:tcPr>
            <w:tcW w:w="1985" w:type="dxa"/>
          </w:tcPr>
          <w:p w14:paraId="7F5ED381" w14:textId="77777777" w:rsidR="009E18F5" w:rsidRPr="00D175FE" w:rsidRDefault="009E18F5" w:rsidP="006B06BB">
            <w:pPr>
              <w:jc w:val="left"/>
              <w:rPr>
                <w:sz w:val="18"/>
                <w:szCs w:val="18"/>
              </w:rPr>
            </w:pPr>
            <w:r w:rsidRPr="00D175FE">
              <w:rPr>
                <w:sz w:val="18"/>
                <w:szCs w:val="18"/>
              </w:rPr>
              <w:t>The assumed Victorian share of the 2017 to 2050 Australian emission budget. (see Meinshausen et al., 2018)</w:t>
            </w:r>
          </w:p>
        </w:tc>
        <w:tc>
          <w:tcPr>
            <w:tcW w:w="2977" w:type="dxa"/>
          </w:tcPr>
          <w:p w14:paraId="73E4F5FE" w14:textId="77777777" w:rsidR="009E18F5" w:rsidRPr="00D175FE" w:rsidRDefault="009E18F5" w:rsidP="006B06BB">
            <w:pPr>
              <w:jc w:val="left"/>
              <w:rPr>
                <w:sz w:val="18"/>
                <w:szCs w:val="18"/>
              </w:rPr>
            </w:pPr>
            <w:r w:rsidRPr="00D175FE">
              <w:rPr>
                <w:sz w:val="18"/>
                <w:szCs w:val="18"/>
              </w:rPr>
              <w:t xml:space="preserve">The remaining Victorian </w:t>
            </w:r>
            <w:r w:rsidRPr="00D175FE">
              <w:rPr>
                <w:i/>
                <w:sz w:val="18"/>
                <w:szCs w:val="18"/>
              </w:rPr>
              <w:t>emission</w:t>
            </w:r>
            <w:r w:rsidRPr="00D175FE">
              <w:rPr>
                <w:sz w:val="18"/>
                <w:szCs w:val="18"/>
              </w:rPr>
              <w:t xml:space="preserve"> budget from January 2017 </w:t>
            </w:r>
            <w:r w:rsidRPr="00D175FE">
              <w:rPr>
                <w:i/>
                <w:sz w:val="18"/>
                <w:szCs w:val="18"/>
              </w:rPr>
              <w:t>until 2050</w:t>
            </w:r>
            <w:r w:rsidRPr="00D175FE">
              <w:rPr>
                <w:sz w:val="18"/>
                <w:szCs w:val="18"/>
              </w:rPr>
              <w:t xml:space="preserve"> for a 50% warming to stay below 1.5</w:t>
            </w:r>
            <w:r w:rsidRPr="00D175FE">
              <w:rPr>
                <w:rFonts w:cstheme="minorHAnsi"/>
                <w:sz w:val="18"/>
                <w:szCs w:val="18"/>
              </w:rPr>
              <w:t>°</w:t>
            </w:r>
            <w:r w:rsidRPr="00D175FE">
              <w:rPr>
                <w:sz w:val="18"/>
                <w:szCs w:val="18"/>
              </w:rPr>
              <w:t>C warming relative to pre-industrial levels.</w:t>
            </w:r>
          </w:p>
        </w:tc>
      </w:tr>
    </w:tbl>
    <w:p w14:paraId="5EF8CCB6" w14:textId="09D23FDB" w:rsidR="009E18F5" w:rsidRDefault="009E18F5" w:rsidP="006C42AA">
      <w:pPr>
        <w:rPr>
          <w:u w:val="single"/>
        </w:rPr>
      </w:pPr>
    </w:p>
    <w:p w14:paraId="61E870F3" w14:textId="77777777" w:rsidR="009E18F5" w:rsidRDefault="009E18F5" w:rsidP="006C42AA">
      <w:pPr>
        <w:rPr>
          <w:u w:val="single"/>
        </w:rPr>
      </w:pPr>
    </w:p>
    <w:p w14:paraId="09037C44" w14:textId="77777777" w:rsidR="00D175FE" w:rsidRDefault="00D175FE" w:rsidP="006C42AA">
      <w:pPr>
        <w:rPr>
          <w:u w:val="single"/>
        </w:rPr>
      </w:pPr>
    </w:p>
    <w:p w14:paraId="4FBEBC68" w14:textId="5420CA73" w:rsidR="002005DB" w:rsidRDefault="002005DB" w:rsidP="006C42AA">
      <w:pPr>
        <w:rPr>
          <w:u w:val="single"/>
        </w:rPr>
      </w:pPr>
      <w:r>
        <w:rPr>
          <w:u w:val="single"/>
        </w:rPr>
        <w:t xml:space="preserve">References: </w:t>
      </w:r>
    </w:p>
    <w:p w14:paraId="634ECD60" w14:textId="77777777" w:rsidR="002005DB" w:rsidRDefault="002005DB" w:rsidP="0030659B">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Hawkins, E., P. Ortega, E. Suckling, A. </w:t>
      </w:r>
      <w:proofErr w:type="spellStart"/>
      <w:r>
        <w:rPr>
          <w:rFonts w:ascii="Segoe UI" w:hAnsi="Segoe UI" w:cs="Segoe UI"/>
          <w:sz w:val="18"/>
          <w:szCs w:val="18"/>
        </w:rPr>
        <w:t>Schurer</w:t>
      </w:r>
      <w:proofErr w:type="spellEnd"/>
      <w:r>
        <w:rPr>
          <w:rFonts w:ascii="Segoe UI" w:hAnsi="Segoe UI" w:cs="Segoe UI"/>
          <w:sz w:val="18"/>
          <w:szCs w:val="18"/>
        </w:rPr>
        <w:t xml:space="preserve">, G. </w:t>
      </w:r>
      <w:proofErr w:type="spellStart"/>
      <w:r>
        <w:rPr>
          <w:rFonts w:ascii="Segoe UI" w:hAnsi="Segoe UI" w:cs="Segoe UI"/>
          <w:sz w:val="18"/>
          <w:szCs w:val="18"/>
        </w:rPr>
        <w:t>Hegerl</w:t>
      </w:r>
      <w:proofErr w:type="spellEnd"/>
      <w:r>
        <w:rPr>
          <w:rFonts w:ascii="Segoe UI" w:hAnsi="Segoe UI" w:cs="Segoe UI"/>
          <w:sz w:val="18"/>
          <w:szCs w:val="18"/>
        </w:rPr>
        <w:t>, P. Jones, M. Joshi, T. J. Osborn, V. Masson-</w:t>
      </w:r>
      <w:proofErr w:type="spellStart"/>
      <w:r>
        <w:rPr>
          <w:rFonts w:ascii="Segoe UI" w:hAnsi="Segoe UI" w:cs="Segoe UI"/>
          <w:sz w:val="18"/>
          <w:szCs w:val="18"/>
        </w:rPr>
        <w:t>Delmotte</w:t>
      </w:r>
      <w:proofErr w:type="spellEnd"/>
      <w:r>
        <w:rPr>
          <w:rFonts w:ascii="Segoe UI" w:hAnsi="Segoe UI" w:cs="Segoe UI"/>
          <w:sz w:val="18"/>
          <w:szCs w:val="18"/>
        </w:rPr>
        <w:t xml:space="preserve">, J. </w:t>
      </w:r>
      <w:proofErr w:type="spellStart"/>
      <w:r>
        <w:rPr>
          <w:rFonts w:ascii="Segoe UI" w:hAnsi="Segoe UI" w:cs="Segoe UI"/>
          <w:sz w:val="18"/>
          <w:szCs w:val="18"/>
        </w:rPr>
        <w:t>Mignot</w:t>
      </w:r>
      <w:proofErr w:type="spellEnd"/>
      <w:r>
        <w:rPr>
          <w:rFonts w:ascii="Segoe UI" w:hAnsi="Segoe UI" w:cs="Segoe UI"/>
          <w:sz w:val="18"/>
          <w:szCs w:val="18"/>
        </w:rPr>
        <w:t xml:space="preserve">, P. Thorne and G. J. v. </w:t>
      </w:r>
      <w:proofErr w:type="spellStart"/>
      <w:r>
        <w:rPr>
          <w:rFonts w:ascii="Segoe UI" w:hAnsi="Segoe UI" w:cs="Segoe UI"/>
          <w:sz w:val="18"/>
          <w:szCs w:val="18"/>
        </w:rPr>
        <w:t>Oldenborgh</w:t>
      </w:r>
      <w:proofErr w:type="spellEnd"/>
      <w:r>
        <w:rPr>
          <w:rFonts w:ascii="Segoe UI" w:hAnsi="Segoe UI" w:cs="Segoe UI"/>
          <w:sz w:val="18"/>
          <w:szCs w:val="18"/>
        </w:rPr>
        <w:t xml:space="preserve"> (2017). "Estimating Changes in Global Temperature since the Preindustrial Period." </w:t>
      </w:r>
      <w:r>
        <w:rPr>
          <w:rFonts w:ascii="Segoe UI" w:hAnsi="Segoe UI" w:cs="Segoe UI"/>
          <w:sz w:val="18"/>
          <w:szCs w:val="18"/>
          <w:u w:val="single"/>
        </w:rPr>
        <w:t>Bulletin of the American Meteorological Society</w:t>
      </w:r>
      <w:r>
        <w:rPr>
          <w:rFonts w:ascii="Segoe UI" w:hAnsi="Segoe UI" w:cs="Segoe UI"/>
          <w:sz w:val="18"/>
          <w:szCs w:val="18"/>
        </w:rPr>
        <w:t xml:space="preserve"> </w:t>
      </w:r>
      <w:r>
        <w:rPr>
          <w:rFonts w:ascii="Segoe UI" w:hAnsi="Segoe UI" w:cs="Segoe UI"/>
          <w:b/>
          <w:bCs/>
          <w:sz w:val="18"/>
          <w:szCs w:val="18"/>
        </w:rPr>
        <w:t>98</w:t>
      </w:r>
      <w:r>
        <w:rPr>
          <w:rFonts w:ascii="Segoe UI" w:hAnsi="Segoe UI" w:cs="Segoe UI"/>
          <w:sz w:val="18"/>
          <w:szCs w:val="18"/>
        </w:rPr>
        <w:t>(9): 1841-1856.</w:t>
      </w:r>
    </w:p>
    <w:p w14:paraId="6129D5C8" w14:textId="77777777" w:rsidR="006C16AC" w:rsidRDefault="006C16AC" w:rsidP="0030659B">
      <w:pPr>
        <w:autoSpaceDE w:val="0"/>
        <w:autoSpaceDN w:val="0"/>
        <w:adjustRightInd w:val="0"/>
        <w:spacing w:after="0" w:line="240" w:lineRule="auto"/>
        <w:rPr>
          <w:rFonts w:ascii="Segoe UI" w:hAnsi="Segoe UI" w:cs="Segoe UI"/>
          <w:sz w:val="18"/>
          <w:szCs w:val="18"/>
        </w:rPr>
      </w:pPr>
    </w:p>
    <w:p w14:paraId="1CFB47CE" w14:textId="0E6769E5" w:rsidR="006C16AC" w:rsidRDefault="003E1BCF" w:rsidP="0030659B">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IPCC</w:t>
      </w:r>
      <w:r w:rsidR="006C16AC">
        <w:rPr>
          <w:rFonts w:ascii="Segoe UI" w:hAnsi="Segoe UI" w:cs="Segoe UI"/>
          <w:sz w:val="18"/>
          <w:szCs w:val="18"/>
        </w:rPr>
        <w:t xml:space="preserve"> (2018),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w:t>
      </w:r>
      <w:r>
        <w:rPr>
          <w:rFonts w:ascii="Segoe UI" w:hAnsi="Segoe UI" w:cs="Segoe UI"/>
          <w:sz w:val="18"/>
          <w:szCs w:val="18"/>
        </w:rPr>
        <w:t xml:space="preserve">Intergovernmental Panel on Climate Change, available at: </w:t>
      </w:r>
      <w:hyperlink r:id="rId17" w:history="1">
        <w:r w:rsidRPr="003E1BCF">
          <w:rPr>
            <w:rStyle w:val="Hyperlink"/>
            <w:rFonts w:ascii="Segoe UI" w:hAnsi="Segoe UI" w:cs="Segoe UI"/>
            <w:sz w:val="18"/>
            <w:szCs w:val="18"/>
          </w:rPr>
          <w:t>https://www.ipcc.ch/sr15/</w:t>
        </w:r>
      </w:hyperlink>
      <w:r w:rsidR="006C16AC">
        <w:rPr>
          <w:rFonts w:ascii="Segoe UI" w:hAnsi="Segoe UI" w:cs="Segoe UI"/>
          <w:sz w:val="18"/>
          <w:szCs w:val="18"/>
        </w:rPr>
        <w:t xml:space="preserve">. </w:t>
      </w:r>
    </w:p>
    <w:p w14:paraId="6EFE5DC2" w14:textId="77777777" w:rsidR="006C16AC" w:rsidRDefault="006C16AC" w:rsidP="0030659B">
      <w:pPr>
        <w:autoSpaceDE w:val="0"/>
        <w:autoSpaceDN w:val="0"/>
        <w:adjustRightInd w:val="0"/>
        <w:spacing w:after="0" w:line="240" w:lineRule="auto"/>
        <w:rPr>
          <w:rFonts w:ascii="Segoe UI" w:hAnsi="Segoe UI" w:cs="Segoe UI"/>
          <w:sz w:val="18"/>
          <w:szCs w:val="18"/>
        </w:rPr>
      </w:pPr>
    </w:p>
    <w:p w14:paraId="2F5FD6F6" w14:textId="701FC4A7" w:rsidR="006C16AC" w:rsidRPr="0030659B" w:rsidRDefault="006C16AC" w:rsidP="0030659B">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Meinshausen, M., </w:t>
      </w:r>
      <w:proofErr w:type="spellStart"/>
      <w:r>
        <w:rPr>
          <w:rFonts w:ascii="Segoe UI" w:hAnsi="Segoe UI" w:cs="Segoe UI"/>
          <w:sz w:val="18"/>
          <w:szCs w:val="18"/>
        </w:rPr>
        <w:t>Robiou</w:t>
      </w:r>
      <w:proofErr w:type="spellEnd"/>
      <w:r w:rsidR="003E1BCF">
        <w:rPr>
          <w:rFonts w:ascii="Segoe UI" w:hAnsi="Segoe UI" w:cs="Segoe UI"/>
          <w:sz w:val="18"/>
          <w:szCs w:val="18"/>
        </w:rPr>
        <w:t xml:space="preserve"> </w:t>
      </w:r>
      <w:r>
        <w:rPr>
          <w:rFonts w:ascii="Segoe UI" w:hAnsi="Segoe UI" w:cs="Segoe UI"/>
          <w:sz w:val="18"/>
          <w:szCs w:val="18"/>
        </w:rPr>
        <w:t xml:space="preserve">Du Pont, Y. and Talberg, A. (2018), Greenhouse Gas Emissions Budgets for Victoria, Briefing Paper for the Independent Expert Panel on Interim Targets, May 2018.  </w:t>
      </w:r>
    </w:p>
    <w:sectPr w:rsidR="006C16AC" w:rsidRPr="0030659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20632" w14:textId="77777777" w:rsidR="00773E3D" w:rsidRDefault="00773E3D" w:rsidP="00CE027B">
      <w:pPr>
        <w:spacing w:after="0" w:line="240" w:lineRule="auto"/>
      </w:pPr>
      <w:r>
        <w:separator/>
      </w:r>
    </w:p>
  </w:endnote>
  <w:endnote w:type="continuationSeparator" w:id="0">
    <w:p w14:paraId="2F550EB4" w14:textId="77777777" w:rsidR="00773E3D" w:rsidRDefault="00773E3D" w:rsidP="00CE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42EF" w14:textId="1B58B833" w:rsidR="00CE027B" w:rsidRDefault="00CE027B">
    <w:pPr>
      <w:pStyle w:val="Footer"/>
    </w:pPr>
    <w:r>
      <w:t xml:space="preserve">Briefing for Victorian interim targets panel, </w:t>
    </w:r>
    <w:r w:rsidR="009C1A23">
      <w:t>12</w:t>
    </w:r>
    <w:r w:rsidR="009C1A23" w:rsidRPr="006619C8">
      <w:rPr>
        <w:vertAlign w:val="superscript"/>
      </w:rPr>
      <w:t>th</w:t>
    </w:r>
    <w:r w:rsidR="009C1A23">
      <w:t xml:space="preserve"> </w:t>
    </w:r>
    <w:r>
      <w:t>February 201</w:t>
    </w:r>
    <w:r w:rsidR="00EC3432">
      <w:t>9</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1205" w14:textId="77777777" w:rsidR="00773E3D" w:rsidRDefault="00773E3D" w:rsidP="00CE027B">
      <w:pPr>
        <w:spacing w:after="0" w:line="240" w:lineRule="auto"/>
      </w:pPr>
      <w:r>
        <w:separator/>
      </w:r>
    </w:p>
  </w:footnote>
  <w:footnote w:type="continuationSeparator" w:id="0">
    <w:p w14:paraId="08729068" w14:textId="77777777" w:rsidR="00773E3D" w:rsidRDefault="00773E3D" w:rsidP="00CE027B">
      <w:pPr>
        <w:spacing w:after="0" w:line="240" w:lineRule="auto"/>
      </w:pPr>
      <w:r>
        <w:continuationSeparator/>
      </w:r>
    </w:p>
  </w:footnote>
  <w:footnote w:id="1">
    <w:p w14:paraId="104F5801" w14:textId="5C9B5340" w:rsidR="006619C8" w:rsidRDefault="006619C8">
      <w:pPr>
        <w:pStyle w:val="FootnoteText"/>
      </w:pPr>
      <w:r>
        <w:rPr>
          <w:rStyle w:val="FootnoteReference"/>
        </w:rPr>
        <w:footnoteRef/>
      </w:r>
      <w:r>
        <w:t xml:space="preserve"> The 2013-2050 </w:t>
      </w:r>
      <w:proofErr w:type="gramStart"/>
      <w:r>
        <w:t>time period</w:t>
      </w:r>
      <w:proofErr w:type="gramEnd"/>
      <w:r>
        <w:t xml:space="preserve"> is used to be consistent with the methodology previously used by the Panel.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13DC1" w14:textId="5FDAB864" w:rsidR="00A56099" w:rsidRDefault="00A5609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22CA34"/>
    <w:lvl w:ilvl="0">
      <w:numFmt w:val="bullet"/>
      <w:lvlText w:val="*"/>
      <w:lvlJc w:val="left"/>
    </w:lvl>
  </w:abstractNum>
  <w:abstractNum w:abstractNumId="1" w15:restartNumberingAfterBreak="0">
    <w:nsid w:val="03DA70AB"/>
    <w:multiLevelType w:val="hybridMultilevel"/>
    <w:tmpl w:val="4DA62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C85B42"/>
    <w:multiLevelType w:val="hybridMultilevel"/>
    <w:tmpl w:val="C4BCEAE4"/>
    <w:lvl w:ilvl="0" w:tplc="23A24B78">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D6C93"/>
    <w:multiLevelType w:val="hybridMultilevel"/>
    <w:tmpl w:val="7C72A6F0"/>
    <w:lvl w:ilvl="0" w:tplc="6436CD96">
      <w:start w:val="5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9B"/>
    <w:multiLevelType w:val="hybridMultilevel"/>
    <w:tmpl w:val="7728D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C3617C"/>
    <w:multiLevelType w:val="hybridMultilevel"/>
    <w:tmpl w:val="168C8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E030C4"/>
    <w:multiLevelType w:val="multilevel"/>
    <w:tmpl w:val="0D9A20FC"/>
    <w:lvl w:ilvl="0">
      <w:start w:val="6"/>
      <w:numFmt w:val="decimal"/>
      <w:lvlText w:val="(%1"/>
      <w:lvlJc w:val="left"/>
      <w:pPr>
        <w:ind w:left="383" w:hanging="383"/>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0E1A2B"/>
    <w:multiLevelType w:val="hybridMultilevel"/>
    <w:tmpl w:val="2EDAF1C0"/>
    <w:lvl w:ilvl="0" w:tplc="FE187684">
      <w:start w:val="7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3F39A7"/>
    <w:multiLevelType w:val="hybridMultilevel"/>
    <w:tmpl w:val="9634C610"/>
    <w:lvl w:ilvl="0" w:tplc="568E1A5C">
      <w:start w:val="7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D151AE"/>
    <w:multiLevelType w:val="hybridMultilevel"/>
    <w:tmpl w:val="86D65E30"/>
    <w:lvl w:ilvl="0" w:tplc="8F08CB08">
      <w:start w:val="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2145793"/>
    <w:multiLevelType w:val="hybridMultilevel"/>
    <w:tmpl w:val="6F64E546"/>
    <w:lvl w:ilvl="0" w:tplc="703C3C36">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5E7A2E"/>
    <w:multiLevelType w:val="hybridMultilevel"/>
    <w:tmpl w:val="17600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C523711"/>
    <w:multiLevelType w:val="hybridMultilevel"/>
    <w:tmpl w:val="0D7A4714"/>
    <w:lvl w:ilvl="0" w:tplc="536CADE8">
      <w:start w:val="7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C01A59"/>
    <w:multiLevelType w:val="hybridMultilevel"/>
    <w:tmpl w:val="120A75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535BFD"/>
    <w:multiLevelType w:val="hybridMultilevel"/>
    <w:tmpl w:val="76505F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6452AC5"/>
    <w:multiLevelType w:val="hybridMultilevel"/>
    <w:tmpl w:val="0122D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DD752C"/>
    <w:multiLevelType w:val="hybridMultilevel"/>
    <w:tmpl w:val="FF32D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B67242"/>
    <w:multiLevelType w:val="hybridMultilevel"/>
    <w:tmpl w:val="E16447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F62A02"/>
    <w:multiLevelType w:val="hybridMultilevel"/>
    <w:tmpl w:val="70AC0B2E"/>
    <w:lvl w:ilvl="0" w:tplc="F63E5424">
      <w:start w:val="5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1"/>
  </w:num>
  <w:num w:numId="3">
    <w:abstractNumId w:val="15"/>
  </w:num>
  <w:num w:numId="4">
    <w:abstractNumId w:val="16"/>
  </w:num>
  <w:num w:numId="5">
    <w:abstractNumId w:val="5"/>
  </w:num>
  <w:num w:numId="6">
    <w:abstractNumId w:val="1"/>
  </w:num>
  <w:num w:numId="7">
    <w:abstractNumId w:val="4"/>
  </w:num>
  <w:num w:numId="8">
    <w:abstractNumId w:val="14"/>
  </w:num>
  <w:num w:numId="9">
    <w:abstractNumId w:val="13"/>
  </w:num>
  <w:num w:numId="10">
    <w:abstractNumId w:val="17"/>
  </w:num>
  <w:num w:numId="11">
    <w:abstractNumId w:val="3"/>
  </w:num>
  <w:num w:numId="12">
    <w:abstractNumId w:val="18"/>
  </w:num>
  <w:num w:numId="13">
    <w:abstractNumId w:val="7"/>
  </w:num>
  <w:num w:numId="14">
    <w:abstractNumId w:val="2"/>
  </w:num>
  <w:num w:numId="15">
    <w:abstractNumId w:val="9"/>
  </w:num>
  <w:num w:numId="16">
    <w:abstractNumId w:val="6"/>
  </w:num>
  <w:num w:numId="17">
    <w:abstractNumId w:val="10"/>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B6"/>
    <w:rsid w:val="00021AC9"/>
    <w:rsid w:val="0004160D"/>
    <w:rsid w:val="000467E9"/>
    <w:rsid w:val="0007296B"/>
    <w:rsid w:val="00077002"/>
    <w:rsid w:val="00093B2F"/>
    <w:rsid w:val="000A084F"/>
    <w:rsid w:val="000A678B"/>
    <w:rsid w:val="000B65F2"/>
    <w:rsid w:val="000C65D6"/>
    <w:rsid w:val="000D64E3"/>
    <w:rsid w:val="000D7248"/>
    <w:rsid w:val="000F213C"/>
    <w:rsid w:val="00115AB4"/>
    <w:rsid w:val="00116C9B"/>
    <w:rsid w:val="00132E97"/>
    <w:rsid w:val="00147695"/>
    <w:rsid w:val="00152E7B"/>
    <w:rsid w:val="00167C46"/>
    <w:rsid w:val="001723BC"/>
    <w:rsid w:val="0018659A"/>
    <w:rsid w:val="001A3DE8"/>
    <w:rsid w:val="001B0110"/>
    <w:rsid w:val="001B1BA9"/>
    <w:rsid w:val="001C5130"/>
    <w:rsid w:val="001C7B3E"/>
    <w:rsid w:val="001D3662"/>
    <w:rsid w:val="001D4218"/>
    <w:rsid w:val="001D698D"/>
    <w:rsid w:val="001F4F49"/>
    <w:rsid w:val="001F728F"/>
    <w:rsid w:val="002005DB"/>
    <w:rsid w:val="0025174D"/>
    <w:rsid w:val="0025678B"/>
    <w:rsid w:val="00292CC6"/>
    <w:rsid w:val="002B1237"/>
    <w:rsid w:val="002B6825"/>
    <w:rsid w:val="002C35E8"/>
    <w:rsid w:val="002E7A29"/>
    <w:rsid w:val="0030659B"/>
    <w:rsid w:val="003173BD"/>
    <w:rsid w:val="003220DC"/>
    <w:rsid w:val="00361DE5"/>
    <w:rsid w:val="00391B80"/>
    <w:rsid w:val="00395A34"/>
    <w:rsid w:val="003A37BD"/>
    <w:rsid w:val="003C6918"/>
    <w:rsid w:val="003D70A6"/>
    <w:rsid w:val="003E1BCF"/>
    <w:rsid w:val="00403BE1"/>
    <w:rsid w:val="00407A97"/>
    <w:rsid w:val="00426F8D"/>
    <w:rsid w:val="00445864"/>
    <w:rsid w:val="004525C8"/>
    <w:rsid w:val="004525D9"/>
    <w:rsid w:val="00475852"/>
    <w:rsid w:val="004800FF"/>
    <w:rsid w:val="004C438B"/>
    <w:rsid w:val="004D244F"/>
    <w:rsid w:val="004F013D"/>
    <w:rsid w:val="004F4DF1"/>
    <w:rsid w:val="00517DC5"/>
    <w:rsid w:val="005211DB"/>
    <w:rsid w:val="00521622"/>
    <w:rsid w:val="00534B00"/>
    <w:rsid w:val="00537CD5"/>
    <w:rsid w:val="005475EA"/>
    <w:rsid w:val="00567F58"/>
    <w:rsid w:val="005B5D2A"/>
    <w:rsid w:val="005D3530"/>
    <w:rsid w:val="005E705B"/>
    <w:rsid w:val="00600FE8"/>
    <w:rsid w:val="006170F8"/>
    <w:rsid w:val="006271D7"/>
    <w:rsid w:val="00630964"/>
    <w:rsid w:val="0063224A"/>
    <w:rsid w:val="0064716E"/>
    <w:rsid w:val="00651800"/>
    <w:rsid w:val="006619C8"/>
    <w:rsid w:val="00662A88"/>
    <w:rsid w:val="006B5BC9"/>
    <w:rsid w:val="006C16AC"/>
    <w:rsid w:val="006C42AA"/>
    <w:rsid w:val="006D54D7"/>
    <w:rsid w:val="006E5F94"/>
    <w:rsid w:val="006E7DF0"/>
    <w:rsid w:val="006E7E45"/>
    <w:rsid w:val="00714A0C"/>
    <w:rsid w:val="00715F45"/>
    <w:rsid w:val="007341EA"/>
    <w:rsid w:val="00743DE4"/>
    <w:rsid w:val="00743E3C"/>
    <w:rsid w:val="007448AF"/>
    <w:rsid w:val="00755494"/>
    <w:rsid w:val="00755EAF"/>
    <w:rsid w:val="0075722E"/>
    <w:rsid w:val="00763A17"/>
    <w:rsid w:val="00773E3D"/>
    <w:rsid w:val="00774111"/>
    <w:rsid w:val="0078495D"/>
    <w:rsid w:val="0079607E"/>
    <w:rsid w:val="00797998"/>
    <w:rsid w:val="007B3B53"/>
    <w:rsid w:val="007E265C"/>
    <w:rsid w:val="007F4FEE"/>
    <w:rsid w:val="00800D00"/>
    <w:rsid w:val="008167AC"/>
    <w:rsid w:val="00844AA3"/>
    <w:rsid w:val="00856EF5"/>
    <w:rsid w:val="008616B6"/>
    <w:rsid w:val="0088405A"/>
    <w:rsid w:val="008A32EC"/>
    <w:rsid w:val="008A5BD3"/>
    <w:rsid w:val="008C0980"/>
    <w:rsid w:val="008D4FC5"/>
    <w:rsid w:val="00945509"/>
    <w:rsid w:val="00977531"/>
    <w:rsid w:val="00994882"/>
    <w:rsid w:val="009B1B59"/>
    <w:rsid w:val="009B5430"/>
    <w:rsid w:val="009C11EC"/>
    <w:rsid w:val="009C1A23"/>
    <w:rsid w:val="009E18F5"/>
    <w:rsid w:val="009F6570"/>
    <w:rsid w:val="00A07B3E"/>
    <w:rsid w:val="00A13519"/>
    <w:rsid w:val="00A24392"/>
    <w:rsid w:val="00A3201D"/>
    <w:rsid w:val="00A348AA"/>
    <w:rsid w:val="00A56099"/>
    <w:rsid w:val="00A80DED"/>
    <w:rsid w:val="00A815AD"/>
    <w:rsid w:val="00A91C7F"/>
    <w:rsid w:val="00AC05D4"/>
    <w:rsid w:val="00AD2D2C"/>
    <w:rsid w:val="00AE5343"/>
    <w:rsid w:val="00AF63D7"/>
    <w:rsid w:val="00B10176"/>
    <w:rsid w:val="00B13B4F"/>
    <w:rsid w:val="00B257A5"/>
    <w:rsid w:val="00B339EA"/>
    <w:rsid w:val="00B369E9"/>
    <w:rsid w:val="00B41532"/>
    <w:rsid w:val="00B569FF"/>
    <w:rsid w:val="00B70534"/>
    <w:rsid w:val="00B9028B"/>
    <w:rsid w:val="00BB64F1"/>
    <w:rsid w:val="00BF47F6"/>
    <w:rsid w:val="00C223BB"/>
    <w:rsid w:val="00C308B6"/>
    <w:rsid w:val="00C35600"/>
    <w:rsid w:val="00C4163E"/>
    <w:rsid w:val="00C808D4"/>
    <w:rsid w:val="00C83C3E"/>
    <w:rsid w:val="00C85ED9"/>
    <w:rsid w:val="00C95106"/>
    <w:rsid w:val="00CA24A3"/>
    <w:rsid w:val="00CE027B"/>
    <w:rsid w:val="00D00BB8"/>
    <w:rsid w:val="00D175FE"/>
    <w:rsid w:val="00D26040"/>
    <w:rsid w:val="00D30A33"/>
    <w:rsid w:val="00D46E88"/>
    <w:rsid w:val="00D6416D"/>
    <w:rsid w:val="00D71B8A"/>
    <w:rsid w:val="00D73966"/>
    <w:rsid w:val="00D75B7A"/>
    <w:rsid w:val="00D86B3E"/>
    <w:rsid w:val="00D923BF"/>
    <w:rsid w:val="00DA336E"/>
    <w:rsid w:val="00E02B80"/>
    <w:rsid w:val="00E54925"/>
    <w:rsid w:val="00E62A94"/>
    <w:rsid w:val="00E659C9"/>
    <w:rsid w:val="00E92734"/>
    <w:rsid w:val="00EA77F0"/>
    <w:rsid w:val="00EB53D4"/>
    <w:rsid w:val="00EC3432"/>
    <w:rsid w:val="00EC58C8"/>
    <w:rsid w:val="00EC7881"/>
    <w:rsid w:val="00ED5720"/>
    <w:rsid w:val="00EE0654"/>
    <w:rsid w:val="00EE0861"/>
    <w:rsid w:val="00EE08B9"/>
    <w:rsid w:val="00EF5318"/>
    <w:rsid w:val="00F007ED"/>
    <w:rsid w:val="00F12008"/>
    <w:rsid w:val="00F15CF6"/>
    <w:rsid w:val="00F1746C"/>
    <w:rsid w:val="00F2503E"/>
    <w:rsid w:val="00F443DA"/>
    <w:rsid w:val="00F51C7B"/>
    <w:rsid w:val="00F63715"/>
    <w:rsid w:val="00F82828"/>
    <w:rsid w:val="00F91DC2"/>
    <w:rsid w:val="00FA1A40"/>
    <w:rsid w:val="00FB2B39"/>
    <w:rsid w:val="00FC16B3"/>
    <w:rsid w:val="00FE2BC1"/>
    <w:rsid w:val="00FE3F12"/>
    <w:rsid w:val="03080E2D"/>
    <w:rsid w:val="054C519E"/>
    <w:rsid w:val="0B0F3978"/>
    <w:rsid w:val="0C33D021"/>
    <w:rsid w:val="0CCE16FF"/>
    <w:rsid w:val="0D5C5A00"/>
    <w:rsid w:val="1CEAEDCC"/>
    <w:rsid w:val="20051BA6"/>
    <w:rsid w:val="2131C03F"/>
    <w:rsid w:val="24BC5ADF"/>
    <w:rsid w:val="2FA12786"/>
    <w:rsid w:val="31623AB4"/>
    <w:rsid w:val="326EF15E"/>
    <w:rsid w:val="3EFD0B09"/>
    <w:rsid w:val="3FB81FD8"/>
    <w:rsid w:val="404A91B9"/>
    <w:rsid w:val="46D68052"/>
    <w:rsid w:val="474E161E"/>
    <w:rsid w:val="5E061F18"/>
    <w:rsid w:val="625F499D"/>
    <w:rsid w:val="62AFA363"/>
    <w:rsid w:val="63596584"/>
    <w:rsid w:val="6676C1A9"/>
    <w:rsid w:val="689B82CE"/>
    <w:rsid w:val="6AC20ED1"/>
    <w:rsid w:val="710DCED8"/>
    <w:rsid w:val="7234D72E"/>
    <w:rsid w:val="74A54DD8"/>
    <w:rsid w:val="7D762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39AF0"/>
  <w15:chartTrackingRefBased/>
  <w15:docId w15:val="{C4396721-6213-4257-9FC5-FB0CFB44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59B"/>
    <w:pPr>
      <w:jc w:val="both"/>
    </w:pPr>
  </w:style>
  <w:style w:type="paragraph" w:styleId="Heading1">
    <w:name w:val="heading 1"/>
    <w:basedOn w:val="Normal"/>
    <w:next w:val="Normal"/>
    <w:link w:val="Heading1Char"/>
    <w:uiPriority w:val="9"/>
    <w:qFormat/>
    <w:rsid w:val="0030659B"/>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4B00"/>
    <w:rPr>
      <w:sz w:val="16"/>
      <w:szCs w:val="16"/>
    </w:rPr>
  </w:style>
  <w:style w:type="paragraph" w:styleId="CommentText">
    <w:name w:val="annotation text"/>
    <w:basedOn w:val="Normal"/>
    <w:link w:val="CommentTextChar"/>
    <w:uiPriority w:val="99"/>
    <w:semiHidden/>
    <w:unhideWhenUsed/>
    <w:rsid w:val="00534B00"/>
    <w:pPr>
      <w:spacing w:line="240" w:lineRule="auto"/>
    </w:pPr>
    <w:rPr>
      <w:sz w:val="20"/>
      <w:szCs w:val="20"/>
    </w:rPr>
  </w:style>
  <w:style w:type="character" w:customStyle="1" w:styleId="CommentTextChar">
    <w:name w:val="Comment Text Char"/>
    <w:basedOn w:val="DefaultParagraphFont"/>
    <w:link w:val="CommentText"/>
    <w:uiPriority w:val="99"/>
    <w:semiHidden/>
    <w:rsid w:val="00534B00"/>
    <w:rPr>
      <w:sz w:val="20"/>
      <w:szCs w:val="20"/>
    </w:rPr>
  </w:style>
  <w:style w:type="paragraph" w:styleId="CommentSubject">
    <w:name w:val="annotation subject"/>
    <w:basedOn w:val="CommentText"/>
    <w:next w:val="CommentText"/>
    <w:link w:val="CommentSubjectChar"/>
    <w:uiPriority w:val="99"/>
    <w:semiHidden/>
    <w:unhideWhenUsed/>
    <w:rsid w:val="00534B00"/>
    <w:rPr>
      <w:b/>
      <w:bCs/>
    </w:rPr>
  </w:style>
  <w:style w:type="character" w:customStyle="1" w:styleId="CommentSubjectChar">
    <w:name w:val="Comment Subject Char"/>
    <w:basedOn w:val="CommentTextChar"/>
    <w:link w:val="CommentSubject"/>
    <w:uiPriority w:val="99"/>
    <w:semiHidden/>
    <w:rsid w:val="00534B00"/>
    <w:rPr>
      <w:b/>
      <w:bCs/>
      <w:sz w:val="20"/>
      <w:szCs w:val="20"/>
    </w:rPr>
  </w:style>
  <w:style w:type="paragraph" w:styleId="BalloonText">
    <w:name w:val="Balloon Text"/>
    <w:basedOn w:val="Normal"/>
    <w:link w:val="BalloonTextChar"/>
    <w:uiPriority w:val="99"/>
    <w:semiHidden/>
    <w:unhideWhenUsed/>
    <w:rsid w:val="00534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B00"/>
    <w:rPr>
      <w:rFonts w:ascii="Segoe UI" w:hAnsi="Segoe UI" w:cs="Segoe UI"/>
      <w:sz w:val="18"/>
      <w:szCs w:val="18"/>
    </w:rPr>
  </w:style>
  <w:style w:type="paragraph" w:styleId="ListParagraph">
    <w:name w:val="List Paragraph"/>
    <w:basedOn w:val="Normal"/>
    <w:uiPriority w:val="34"/>
    <w:qFormat/>
    <w:rsid w:val="00A13519"/>
    <w:pPr>
      <w:ind w:left="720"/>
      <w:contextualSpacing/>
    </w:pPr>
  </w:style>
  <w:style w:type="character" w:styleId="Hyperlink">
    <w:name w:val="Hyperlink"/>
    <w:basedOn w:val="DefaultParagraphFont"/>
    <w:uiPriority w:val="99"/>
    <w:unhideWhenUsed/>
    <w:rsid w:val="00B10176"/>
    <w:rPr>
      <w:color w:val="0563C1" w:themeColor="hyperlink"/>
      <w:u w:val="single"/>
    </w:rPr>
  </w:style>
  <w:style w:type="character" w:styleId="UnresolvedMention">
    <w:name w:val="Unresolved Mention"/>
    <w:basedOn w:val="DefaultParagraphFont"/>
    <w:uiPriority w:val="99"/>
    <w:semiHidden/>
    <w:unhideWhenUsed/>
    <w:rsid w:val="00B10176"/>
    <w:rPr>
      <w:color w:val="808080"/>
      <w:shd w:val="clear" w:color="auto" w:fill="E6E6E6"/>
    </w:rPr>
  </w:style>
  <w:style w:type="table" w:styleId="TableGrid">
    <w:name w:val="Table Grid"/>
    <w:basedOn w:val="TableNormal"/>
    <w:uiPriority w:val="39"/>
    <w:rsid w:val="006C4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659B"/>
    <w:rPr>
      <w:rFonts w:asciiTheme="majorHAnsi" w:eastAsiaTheme="majorEastAsia" w:hAnsiTheme="majorHAnsi" w:cstheme="majorBidi"/>
      <w:sz w:val="32"/>
      <w:szCs w:val="32"/>
    </w:rPr>
  </w:style>
  <w:style w:type="paragraph" w:styleId="Caption">
    <w:name w:val="caption"/>
    <w:basedOn w:val="Normal"/>
    <w:next w:val="Normal"/>
    <w:uiPriority w:val="35"/>
    <w:unhideWhenUsed/>
    <w:qFormat/>
    <w:rsid w:val="008D4FC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E0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27B"/>
  </w:style>
  <w:style w:type="paragraph" w:styleId="Footer">
    <w:name w:val="footer"/>
    <w:basedOn w:val="Normal"/>
    <w:link w:val="FooterChar"/>
    <w:uiPriority w:val="99"/>
    <w:unhideWhenUsed/>
    <w:rsid w:val="00CE0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27B"/>
  </w:style>
  <w:style w:type="paragraph" w:styleId="FootnoteText">
    <w:name w:val="footnote text"/>
    <w:basedOn w:val="Normal"/>
    <w:link w:val="FootnoteTextChar"/>
    <w:uiPriority w:val="99"/>
    <w:semiHidden/>
    <w:unhideWhenUsed/>
    <w:rsid w:val="00661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9C8"/>
    <w:rPr>
      <w:sz w:val="20"/>
      <w:szCs w:val="20"/>
    </w:rPr>
  </w:style>
  <w:style w:type="character" w:styleId="FootnoteReference">
    <w:name w:val="footnote reference"/>
    <w:basedOn w:val="DefaultParagraphFont"/>
    <w:uiPriority w:val="99"/>
    <w:semiHidden/>
    <w:unhideWhenUsed/>
    <w:rsid w:val="00661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pcc.ch/sr15/"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4f53214f-b3d4-401f-ad3c-aff173d590a3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Climate Change Policy</TermName>
          <TermId xmlns="http://schemas.microsoft.com/office/infopath/2007/PartnerControls">6d1eac2a-5950-435e-b679-5fd9db28e104</TermId>
        </TermInfo>
      </Terms>
    </mfe9accc5a0b4653a7b513b67ffd122d>
    <_dlc_DocId xmlns="a5f32de4-e402-4188-b034-e71ca7d22e54">DOCID546-1580955621-39</_dlc_DocI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CatchAll xmlns="9fd47c19-1c4a-4d7d-b342-c10cef269344">
      <Value>22</Value>
      <Value>6</Value>
      <Value>5</Value>
      <Value>4</Value>
      <Value>3</Value>
      <Value>2</Value>
      <Value>1</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_dlc_DocIdUrl xmlns="a5f32de4-e402-4188-b034-e71ca7d22e54">
      <Url>https://delwpvicgovau.sharepoint.com/sites/ecm_546/_layouts/15/DocIdRedir.aspx?ID=DOCID546-1580955621-39</Url>
      <Description>DOCID546-1580955621-39</Description>
    </_dlc_DocIdUrl>
    <Language xmlns="http://schemas.microsoft.com/sharepoint/v3">English</Language>
    <k03ab671e17947358fa256b245945173 xmlns="6e3d8d8f-8b17-4341-bb59-b4293219d2a1">
      <Terms xmlns="http://schemas.microsoft.com/office/infopath/2007/PartnerControls">
        <TermInfo xmlns="http://schemas.microsoft.com/office/infopath/2007/PartnerControls">
          <TermName xmlns="http://schemas.microsoft.com/office/infopath/2007/PartnerControls">Working Papers</TermName>
          <TermId xmlns="http://schemas.microsoft.com/office/infopath/2007/PartnerControls">966a3fae-ee3d-4ef5-af3c-565dd68d7968</TermId>
        </TermInfo>
      </Terms>
    </k03ab671e17947358fa256b245945173>
    <k1bd994a94c2413797db3bab8f123f6f xmlns="9fd47c19-1c4a-4d7d-b342-c10cef269344">
      <Terms xmlns="http://schemas.microsoft.com/office/infopath/2007/PartnerControls"/>
    </k1bd994a94c2413797db3bab8f123f6f>
    <RoutingRuleDescription xmlns="http://schemas.microsoft.com/sharepoint/v3" xsi:nil="true"/>
    <a25c4e3633654d669cbaa09ae6b70789 xmlns="9fd47c19-1c4a-4d7d-b342-c10cef269344">
      <Terms xmlns="http://schemas.microsoft.com/office/infopath/2007/PartnerControls"/>
    </a25c4e3633654d669cbaa09ae6b70789>
  </documentManagement>
</p:properties>
</file>

<file path=customXml/item2.xml><?xml version="1.0" encoding="utf-8"?>
<?mso-contentType ?>
<SharedContentType xmlns="Microsoft.SharePoint.Taxonomy.ContentTypeSync" SourceId="797aeec6-0273-40f2-ab3e-beee73212332" ContentTypeId="0x0101002517F445A0F35E449C98AAD631F2B0387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licy Paper" ma:contentTypeID="0x0101002517F445A0F35E449C98AAD631F2B0387900E6F1CA4261B77D45B236946C8FF8BCB8" ma:contentTypeVersion="5" ma:contentTypeDescription="Includes all papers created in the process of policy development, e.g. background, discussion, analysis, drafting instructions etc. " ma:contentTypeScope="" ma:versionID="2c9124e970a7fb1f6e320292ede8a2ab">
  <xsd:schema xmlns:xsd="http://www.w3.org/2001/XMLSchema" xmlns:xs="http://www.w3.org/2001/XMLSchema" xmlns:p="http://schemas.microsoft.com/office/2006/metadata/properties" xmlns:ns1="a5f32de4-e402-4188-b034-e71ca7d22e54" xmlns:ns2="http://schemas.microsoft.com/sharepoint/v3" xmlns:ns3="9fd47c19-1c4a-4d7d-b342-c10cef269344" xmlns:ns4="6e3d8d8f-8b17-4341-bb59-b4293219d2a1" targetNamespace="http://schemas.microsoft.com/office/2006/metadata/properties" ma:root="true" ma:fieldsID="b37e557b4324c8e33f24aeed9d6499c4" ns1:_="" ns2:_="" ns3:_="" ns4:_="">
    <xsd:import namespace="a5f32de4-e402-4188-b034-e71ca7d22e54"/>
    <xsd:import namespace="http://schemas.microsoft.com/sharepoint/v3"/>
    <xsd:import namespace="9fd47c19-1c4a-4d7d-b342-c10cef269344"/>
    <xsd:import namespace="6e3d8d8f-8b17-4341-bb59-b4293219d2a1"/>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k03ab671e17947358fa256b24594517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Climate Change Policy|6d1eac2a-5950-435e-b679-5fd9db28e10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d3d8ad46-f54e-4ed4-8d43-2228879fe1c6}" ma:internalName="TaxCatchAll" ma:showField="CatchAllData" ma:web="3615366d-a5fc-48c6-8d6a-8810589c7d4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d3d8ad46-f54e-4ed4-8d43-2228879fe1c6}" ma:internalName="TaxCatchAllLabel" ma:readOnly="true" ma:showField="CatchAllDataLabel" ma:web="3615366d-a5fc-48c6-8d6a-8810589c7d4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Energy, Environment and Climate Change|94bee464-a01d-4057-aeaf-10b10373b617"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Climate Change|4f53214f-b3d4-401f-ad3c-aff173d590a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3d8d8f-8b17-4341-bb59-b4293219d2a1" elementFormDefault="qualified">
    <xsd:import namespace="http://schemas.microsoft.com/office/2006/documentManagement/types"/>
    <xsd:import namespace="http://schemas.microsoft.com/office/infopath/2007/PartnerControls"/>
    <xsd:element name="k03ab671e17947358fa256b245945173" ma:index="31" nillable="true" ma:taxonomy="true" ma:internalName="k03ab671e17947358fa256b245945173" ma:taxonomyFieldName="Document_x0020_type" ma:displayName="Document type" ma:default="" ma:fieldId="{403ab671-e179-4735-8fa2-56b245945173}" ma:sspId="797aeec6-0273-40f2-ab3e-beee73212332" ma:termSetId="40b00433-80e8-438e-bbb1-465122cb87f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4CC86-6EE9-4D66-81E8-D972B78F7D93}">
  <ds:schemaRef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e3d8d8f-8b17-4341-bb59-b4293219d2a1"/>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194FF15F-63C4-4A98-8CB3-C9E3C24F1BFB}">
  <ds:schemaRefs>
    <ds:schemaRef ds:uri="Microsoft.SharePoint.Taxonomy.ContentTypeSync"/>
  </ds:schemaRefs>
</ds:datastoreItem>
</file>

<file path=customXml/itemProps3.xml><?xml version="1.0" encoding="utf-8"?>
<ds:datastoreItem xmlns:ds="http://schemas.openxmlformats.org/officeDocument/2006/customXml" ds:itemID="{48978C95-AE3D-4C35-BD06-AAA76F6A3354}">
  <ds:schemaRefs>
    <ds:schemaRef ds:uri="http://schemas.microsoft.com/sharepoint/v3/contenttype/forms"/>
  </ds:schemaRefs>
</ds:datastoreItem>
</file>

<file path=customXml/itemProps4.xml><?xml version="1.0" encoding="utf-8"?>
<ds:datastoreItem xmlns:ds="http://schemas.openxmlformats.org/officeDocument/2006/customXml" ds:itemID="{FB4865FB-6C78-4A27-B0B7-9640924801F6}">
  <ds:schemaRefs>
    <ds:schemaRef ds:uri="http://schemas.microsoft.com/sharepoint/events"/>
  </ds:schemaRefs>
</ds:datastoreItem>
</file>

<file path=customXml/itemProps5.xml><?xml version="1.0" encoding="utf-8"?>
<ds:datastoreItem xmlns:ds="http://schemas.openxmlformats.org/officeDocument/2006/customXml" ds:itemID="{9BAE12A8-5E20-46FE-8F9C-2695F1282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6e3d8d8f-8b17-4341-bb59-b4293219d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623C79-A5FC-4383-B1BB-F35241AB5311}">
  <ds:schemaRefs>
    <ds:schemaRef ds:uri="http://schemas.microsoft.com/office/2006/metadata/customXsn"/>
  </ds:schemaRefs>
</ds:datastoreItem>
</file>

<file path=customXml/itemProps7.xml><?xml version="1.0" encoding="utf-8"?>
<ds:datastoreItem xmlns:ds="http://schemas.openxmlformats.org/officeDocument/2006/customXml" ds:itemID="{B50B579F-D487-42DA-9DEA-F9E676C0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Draft advice on 1.5C</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advice on 1.5C</dc:title>
  <dc:subject/>
  <dc:creator>Inga Staples-Moon (DELWP)</dc:creator>
  <cp:keywords/>
  <dc:description/>
  <cp:lastModifiedBy>Anna P Drutschinin (DELWP)</cp:lastModifiedBy>
  <cp:revision>3</cp:revision>
  <cp:lastPrinted>2019-02-03T22:44:00Z</cp:lastPrinted>
  <dcterms:created xsi:type="dcterms:W3CDTF">2019-04-30T00:29:00Z</dcterms:created>
  <dcterms:modified xsi:type="dcterms:W3CDTF">2019-04-30T00:32:00Z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0x0101002517F445A0F35E449C98AAD631F2B0387900E6F1CA4261B77D45B236946C8FF8BCB8</vt:lpwstr>
  </property>
  <property fmtid="{D5CDD505-2E9C-101B-9397-08002B2CF9AE}" pid="3" name="_dlc_DocIdItemGuid">
    <vt:lpwstr>d8b46b1b-2a27-4cc1-ad59-4891b3633f46</vt:lpwstr>
  </property>
  <property fmtid="{D5CDD505-2E9C-101B-9397-08002B2CF9AE}" pid="4" name="Agency">
    <vt:lpwstr>1;#Department of Environment, Land, Water and Planning|607a3f87-1228-4cd9-82a5-076aa8776274</vt:lpwstr>
  </property>
  <property fmtid="{D5CDD505-2E9C-101B-9397-08002B2CF9AE}" pid="5" name="Branch">
    <vt:lpwstr>4;#Climate Change Policy|6d1eac2a-5950-435e-b679-5fd9db28e104</vt:lpwstr>
  </property>
  <property fmtid="{D5CDD505-2E9C-101B-9397-08002B2CF9AE}" pid="6" name="Dissemination Limiting Marker">
    <vt:lpwstr>3;#FOUO|955eb6fc-b35a-4808-8aa5-31e514fa3f26</vt:lpwstr>
  </property>
  <property fmtid="{D5CDD505-2E9C-101B-9397-08002B2CF9AE}" pid="7" name="Group1">
    <vt:lpwstr>6;#Energy, Environment and Climate Change|94bee464-a01d-4057-aeaf-10b10373b617</vt:lpwstr>
  </property>
  <property fmtid="{D5CDD505-2E9C-101B-9397-08002B2CF9AE}" pid="8" name="Security Classification">
    <vt:lpwstr>2;#Unclassified|7fa379f4-4aba-4692-ab80-7d39d3a23cf4</vt:lpwstr>
  </property>
  <property fmtid="{D5CDD505-2E9C-101B-9397-08002B2CF9AE}" pid="9" name="Division">
    <vt:lpwstr>5;#Climate Change|4f53214f-b3d4-401f-ad3c-aff173d590a3</vt:lpwstr>
  </property>
  <property fmtid="{D5CDD505-2E9C-101B-9397-08002B2CF9AE}" pid="10" name="Section">
    <vt:lpwstr/>
  </property>
  <property fmtid="{D5CDD505-2E9C-101B-9397-08002B2CF9AE}" pid="11" name="Sub-Section">
    <vt:lpwstr/>
  </property>
  <property fmtid="{D5CDD505-2E9C-101B-9397-08002B2CF9AE}" pid="12" name="Document type">
    <vt:lpwstr>22;#Working Papers|966a3fae-ee3d-4ef5-af3c-565dd68d7968</vt:lpwstr>
  </property>
  <property fmtid="{D5CDD505-2E9C-101B-9397-08002B2CF9AE}" pid="13" name="o85941e134754762b9719660a258a6e6">
    <vt:lpwstr/>
  </property>
  <property fmtid="{D5CDD505-2E9C-101B-9397-08002B2CF9AE}" pid="14" name="Reference Type">
    <vt:lpwstr/>
  </property>
  <property fmtid="{D5CDD505-2E9C-101B-9397-08002B2CF9AE}" pid="15" name="Copyright Licence Name">
    <vt:lpwstr/>
  </property>
  <property fmtid="{D5CDD505-2E9C-101B-9397-08002B2CF9AE}" pid="16" name="Copyright License Type">
    <vt:lpwstr/>
  </property>
  <property fmtid="{D5CDD505-2E9C-101B-9397-08002B2CF9AE}" pid="17" name="df723ab3fe1c4eb7a0b151674e7ac40d">
    <vt:lpwstr/>
  </property>
  <property fmtid="{D5CDD505-2E9C-101B-9397-08002B2CF9AE}" pid="18" name="Location Type">
    <vt:lpwstr/>
  </property>
  <property fmtid="{D5CDD505-2E9C-101B-9397-08002B2CF9AE}" pid="19" name="o2e611f6ba3e4c8f9a895dfb7980639e">
    <vt:lpwstr/>
  </property>
  <property fmtid="{D5CDD505-2E9C-101B-9397-08002B2CF9AE}" pid="20" name="ld508a88e6264ce89693af80a72862cb">
    <vt:lpwstr/>
  </property>
  <property fmtid="{D5CDD505-2E9C-101B-9397-08002B2CF9AE}" pid="21" name="SharedWithUsers">
    <vt:lpwstr>95;#Inga Staples-Moon (DELWP)</vt:lpwstr>
  </property>
</Properties>
</file>