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D959" w14:textId="06C08A23" w:rsidR="005D7583" w:rsidRPr="00584F0A" w:rsidRDefault="006F0EE4" w:rsidP="0084689A">
      <w:pPr>
        <w:pStyle w:val="IntroFeatureText"/>
        <w:spacing w:before="0"/>
        <w:jc w:val="center"/>
        <w:rPr>
          <w:sz w:val="28"/>
          <w:szCs w:val="28"/>
        </w:rPr>
      </w:pPr>
      <w:r w:rsidRPr="00546F3E">
        <w:rPr>
          <w:noProof/>
          <w:color w:val="FF0000"/>
          <w:sz w:val="28"/>
          <w:szCs w:val="28"/>
        </w:rPr>
        <mc:AlternateContent>
          <mc:Choice Requires="wps">
            <w:drawing>
              <wp:anchor distT="45720" distB="45720" distL="114300" distR="114300" simplePos="0" relativeHeight="251658240" behindDoc="0" locked="0" layoutInCell="1" allowOverlap="1" wp14:anchorId="4F30A9E3" wp14:editId="05E15358">
                <wp:simplePos x="0" y="0"/>
                <wp:positionH relativeFrom="column">
                  <wp:posOffset>50165</wp:posOffset>
                </wp:positionH>
                <wp:positionV relativeFrom="paragraph">
                  <wp:posOffset>672465</wp:posOffset>
                </wp:positionV>
                <wp:extent cx="6400800" cy="28003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800350"/>
                        </a:xfrm>
                        <a:prstGeom prst="rect">
                          <a:avLst/>
                        </a:prstGeom>
                        <a:solidFill>
                          <a:schemeClr val="bg2"/>
                        </a:solidFill>
                        <a:ln w="9525">
                          <a:solidFill>
                            <a:srgbClr val="000000"/>
                          </a:solidFill>
                          <a:miter lim="800000"/>
                          <a:headEnd/>
                          <a:tailEnd/>
                        </a:ln>
                      </wps:spPr>
                      <wps:txbx>
                        <w:txbxContent>
                          <w:p w14:paraId="3A737E71" w14:textId="77777777" w:rsidR="00673509" w:rsidRDefault="00673509" w:rsidP="00705A69">
                            <w:pPr>
                              <w:pStyle w:val="Heading2"/>
                              <w:spacing w:before="0"/>
                            </w:pPr>
                            <w:r>
                              <w:t xml:space="preserve">Summary </w:t>
                            </w:r>
                          </w:p>
                          <w:p w14:paraId="7BC68299" w14:textId="095BFFF8" w:rsidR="00673509" w:rsidRDefault="00673509" w:rsidP="00143185">
                            <w:r w:rsidRPr="00DB1982">
                              <w:t>Exposure to common air pollutants are associated with a range of health impacts including effects on respiratory and cardiovascular conditions, and premature mortality. This</w:t>
                            </w:r>
                            <w:r>
                              <w:t xml:space="preserve"> paper summarises the available evidence on the health costs </w:t>
                            </w:r>
                            <w:r w:rsidRPr="0091132A">
                              <w:t xml:space="preserve">associated with localised </w:t>
                            </w:r>
                            <w:r>
                              <w:t xml:space="preserve">outdoor </w:t>
                            </w:r>
                            <w:r w:rsidRPr="0091132A">
                              <w:t xml:space="preserve">air pollution in Victoria from fossil fuel </w:t>
                            </w:r>
                            <w:r>
                              <w:t>use in the electricity and transport sectors:</w:t>
                            </w:r>
                          </w:p>
                          <w:p w14:paraId="6F364864" w14:textId="10841639" w:rsidR="00673509" w:rsidRDefault="00673509" w:rsidP="00143185"/>
                          <w:p w14:paraId="656C0CE2" w14:textId="4FC543DC" w:rsidR="00673509" w:rsidRPr="006D6FE4" w:rsidRDefault="00673509" w:rsidP="00370C98">
                            <w:pPr>
                              <w:pStyle w:val="ListParagraph"/>
                              <w:numPr>
                                <w:ilvl w:val="0"/>
                                <w:numId w:val="50"/>
                              </w:numPr>
                              <w:ind w:left="426" w:hanging="207"/>
                              <w:rPr>
                                <w:sz w:val="16"/>
                                <w:szCs w:val="16"/>
                              </w:rPr>
                            </w:pPr>
                            <w:r>
                              <w:t>Air pollution from the electricity sector cost Victoria an estimated $420 to $600 million in the year 2017 ($2018 prices).</w:t>
                            </w:r>
                            <w:r>
                              <w:br/>
                            </w:r>
                          </w:p>
                          <w:p w14:paraId="7D373162" w14:textId="0A3CFDF7" w:rsidR="00673509" w:rsidRDefault="00673509" w:rsidP="00370C98">
                            <w:pPr>
                              <w:pStyle w:val="ListParagraph"/>
                              <w:numPr>
                                <w:ilvl w:val="0"/>
                                <w:numId w:val="50"/>
                              </w:numPr>
                              <w:ind w:left="426" w:hanging="207"/>
                            </w:pPr>
                            <w:r>
                              <w:t>Air pollution from the transport sector cost Victoria an estimated $660 million to $1.5 billion in the year 2005 ($2018 prices).</w:t>
                            </w:r>
                          </w:p>
                          <w:p w14:paraId="5FFA34E6" w14:textId="77777777" w:rsidR="00673509" w:rsidRDefault="00673509" w:rsidP="00BC6198"/>
                          <w:p w14:paraId="214C3FC7" w14:textId="79B6D6E8" w:rsidR="00673509" w:rsidRDefault="00673509" w:rsidP="00515915">
                            <w:r>
                              <w:t>In addition to estimating the total health cost of air pollution, it is also of value to consider the potential for avoided health costs under potential future GHG emissions abatement actions in Victoria. The future health costs avoided through emissions reductions will depend on the strength and timing of action, and on the specific policies put in place. For example, a study in 2018 estimated the potential for avoided health costs of air pollution from use of zero emissions and autonomous vehicles of up to $735 million in 2046.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30A9E3" id="_x0000_t202" coordsize="21600,21600" o:spt="202" path="m,l,21600r21600,l21600,xe">
                <v:stroke joinstyle="miter"/>
                <v:path gradientshapeok="t" o:connecttype="rect"/>
              </v:shapetype>
              <v:shape id="Text Box 2" o:spid="_x0000_s1026" type="#_x0000_t202" style="position:absolute;left:0;text-align:left;margin-left:3.95pt;margin-top:52.95pt;width:7in;height:22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" fillcolor="#e5f7f6 [3214]">
                <v:textbox>
                  <w:txbxContent>
                    <w:p w14:paraId="3A737E71" w14:textId="77777777" w:rsidR="00673509" w:rsidRDefault="00673509" w:rsidP="00705A69">
                      <w:pPr>
                        <w:pStyle w:val="Heading2"/>
                        <w:spacing w:before="0"/>
                      </w:pPr>
                      <w:r>
                        <w:t xml:space="preserve">Summary </w:t>
                      </w:r>
                    </w:p>
                    <w:p w14:paraId="7BC68299" w14:textId="095BFFF8" w:rsidR="00673509" w:rsidRDefault="00673509" w:rsidP="00143185">
                      <w:r w:rsidRPr="00DB1982">
                        <w:t>Exposure to common air pollutants are associated with a range of health impacts including effects on respiratory and cardiovascular conditions, and premature mortality. This</w:t>
                      </w:r>
                      <w:r>
                        <w:t xml:space="preserve"> paper summarises the available evidence on the health costs </w:t>
                      </w:r>
                      <w:r w:rsidRPr="0091132A">
                        <w:t xml:space="preserve">associated with localised </w:t>
                      </w:r>
                      <w:r>
                        <w:t xml:space="preserve">outdoor </w:t>
                      </w:r>
                      <w:r w:rsidRPr="0091132A">
                        <w:t xml:space="preserve">air pollution in Victoria from fossil fuel </w:t>
                      </w:r>
                      <w:r>
                        <w:t>use in the electricity and transport sectors:</w:t>
                      </w:r>
                    </w:p>
                    <w:p w14:paraId="6F364864" w14:textId="10841639" w:rsidR="00673509" w:rsidRDefault="00673509" w:rsidP="00143185"/>
                    <w:p w14:paraId="656C0CE2" w14:textId="4FC543DC" w:rsidR="00673509" w:rsidRPr="006D6FE4" w:rsidRDefault="00673509" w:rsidP="00370C98">
                      <w:pPr>
                        <w:pStyle w:val="ListParagraph"/>
                        <w:numPr>
                          <w:ilvl w:val="0"/>
                          <w:numId w:val="50"/>
                        </w:numPr>
                        <w:ind w:left="426" w:hanging="207"/>
                        <w:rPr>
                          <w:sz w:val="16"/>
                          <w:szCs w:val="16"/>
                        </w:rPr>
                      </w:pPr>
                      <w:r>
                        <w:t>Air pollution from the electricity sector cost Victoria an estimated $420 to $600 million in the year 2017 ($2018 prices).</w:t>
                      </w:r>
                      <w:r>
                        <w:br/>
                      </w:r>
                    </w:p>
                    <w:p w14:paraId="7D373162" w14:textId="0A3CFDF7" w:rsidR="00673509" w:rsidRDefault="00673509" w:rsidP="00370C98">
                      <w:pPr>
                        <w:pStyle w:val="ListParagraph"/>
                        <w:numPr>
                          <w:ilvl w:val="0"/>
                          <w:numId w:val="50"/>
                        </w:numPr>
                        <w:ind w:left="426" w:hanging="207"/>
                      </w:pPr>
                      <w:r>
                        <w:t>Air pollution from the transport sector cost Victoria an estimated $660 million to $1.5 billion in the year 2005 ($2018 prices).</w:t>
                      </w:r>
                    </w:p>
                    <w:p w14:paraId="5FFA34E6" w14:textId="77777777" w:rsidR="00673509" w:rsidRDefault="00673509" w:rsidP="00BC6198"/>
                    <w:p w14:paraId="214C3FC7" w14:textId="79B6D6E8" w:rsidR="00673509" w:rsidRDefault="00673509" w:rsidP="00515915">
                      <w:r>
                        <w:t>In addition to estimating the total health cost of air pollution, it is also of value to consider the potential for avoided health costs under potential future GHG emissions abatement actions in Victoria. The future health costs avoided through emissions reductions will depend on the strength and timing of action, and on the specific policies put in place. For example, a study in 2018 estimated the potential for avoided health costs of air pollution from use of zero emissions and autonomous vehicles of up to $735 million in 2046.</w:t>
                      </w:r>
                    </w:p>
                  </w:txbxContent>
                </v:textbox>
                <w10:wrap type="square"/>
              </v:shape>
            </w:pict>
          </mc:Fallback>
        </mc:AlternateContent>
      </w:r>
      <w:bookmarkStart w:id="0" w:name="_GoBack"/>
      <w:bookmarkEnd w:id="0"/>
      <w:r w:rsidR="0084689A">
        <w:rPr>
          <w:sz w:val="28"/>
          <w:szCs w:val="28"/>
        </w:rPr>
        <w:t>DELWP Economics working paper t</w:t>
      </w:r>
      <w:r w:rsidR="005D7583" w:rsidRPr="00584F0A">
        <w:rPr>
          <w:sz w:val="28"/>
          <w:szCs w:val="28"/>
        </w:rPr>
        <w:t>o inform the Independent Expert Panel on Interim Targets</w:t>
      </w:r>
    </w:p>
    <w:p w14:paraId="05376939" w14:textId="1E12A6F7" w:rsidR="00806AB6" w:rsidRDefault="007F0D05" w:rsidP="00D665F5">
      <w:pPr>
        <w:pStyle w:val="Heading2"/>
      </w:pPr>
      <w:r>
        <w:t>Background and purpose</w:t>
      </w:r>
    </w:p>
    <w:p w14:paraId="1C937BD3" w14:textId="394A480A" w:rsidR="003D7B8C" w:rsidRPr="00D27DB7" w:rsidRDefault="00EE5328" w:rsidP="00D23648">
      <w:pPr>
        <w:pStyle w:val="BodyText"/>
      </w:pPr>
      <w:r w:rsidRPr="00D27DB7">
        <w:t>In addition to greenhouse gas (GHG) emissions</w:t>
      </w:r>
      <w:r w:rsidR="009B041E" w:rsidRPr="00D27DB7">
        <w:rPr>
          <w:rStyle w:val="FootnoteReference"/>
        </w:rPr>
        <w:footnoteReference w:id="2"/>
      </w:r>
      <w:r w:rsidRPr="00D27DB7">
        <w:t xml:space="preserve">, </w:t>
      </w:r>
      <w:r w:rsidR="00F27FB4" w:rsidRPr="00D27DB7">
        <w:t xml:space="preserve">the </w:t>
      </w:r>
      <w:r w:rsidR="00D23648" w:rsidRPr="00D27DB7">
        <w:t>combustion of fossil fuels</w:t>
      </w:r>
      <w:r w:rsidR="004B6B4D" w:rsidRPr="00D27DB7">
        <w:t xml:space="preserve"> directly emits primary</w:t>
      </w:r>
      <w:r w:rsidR="00947288">
        <w:t xml:space="preserve"> air</w:t>
      </w:r>
      <w:r w:rsidR="004B6B4D" w:rsidRPr="00D27DB7">
        <w:t xml:space="preserve"> pollutants</w:t>
      </w:r>
      <w:r w:rsidR="00C91166" w:rsidRPr="00D27DB7">
        <w:t xml:space="preserve"> </w:t>
      </w:r>
      <w:r w:rsidR="001D0F4D" w:rsidRPr="00D27DB7">
        <w:t>which impact</w:t>
      </w:r>
      <w:r w:rsidR="007312B4" w:rsidRPr="00D27DB7">
        <w:t xml:space="preserve"> on air quality</w:t>
      </w:r>
      <w:r w:rsidR="00947288">
        <w:t>, the environment</w:t>
      </w:r>
      <w:r w:rsidR="003F75FE" w:rsidRPr="00D27DB7">
        <w:t xml:space="preserve"> and human health</w:t>
      </w:r>
      <w:r w:rsidR="00D23648" w:rsidRPr="00D27DB7">
        <w:t>.</w:t>
      </w:r>
      <w:r w:rsidR="003F75FE" w:rsidRPr="00D27DB7">
        <w:t xml:space="preserve"> Secondary pollutants</w:t>
      </w:r>
      <w:r w:rsidR="003D7B8C" w:rsidRPr="00D27DB7">
        <w:t xml:space="preserve"> </w:t>
      </w:r>
      <w:r w:rsidR="003F75FE" w:rsidRPr="00D27DB7">
        <w:t xml:space="preserve">are </w:t>
      </w:r>
      <w:r w:rsidR="004D2D73" w:rsidRPr="00D27DB7">
        <w:t xml:space="preserve">also </w:t>
      </w:r>
      <w:r w:rsidR="003F75FE" w:rsidRPr="00D27DB7">
        <w:t xml:space="preserve">produced from </w:t>
      </w:r>
      <w:r w:rsidR="00C13CCD" w:rsidRPr="00D27DB7">
        <w:t>photo</w:t>
      </w:r>
      <w:r w:rsidR="003F75FE" w:rsidRPr="00D27DB7">
        <w:t>chemical reactions between</w:t>
      </w:r>
      <w:r w:rsidR="00910DF9">
        <w:t xml:space="preserve"> some</w:t>
      </w:r>
      <w:r w:rsidR="003F75FE" w:rsidRPr="00D27DB7">
        <w:t xml:space="preserve"> pollutants</w:t>
      </w:r>
      <w:r w:rsidR="005B6AA8" w:rsidRPr="00D27DB7">
        <w:t xml:space="preserve"> </w:t>
      </w:r>
      <w:r w:rsidR="003F75FE" w:rsidRPr="00D27DB7">
        <w:t xml:space="preserve">in the atmosphere, </w:t>
      </w:r>
      <w:proofErr w:type="gramStart"/>
      <w:r w:rsidR="003F75FE" w:rsidRPr="00D27DB7">
        <w:t>and also</w:t>
      </w:r>
      <w:proofErr w:type="gramEnd"/>
      <w:r w:rsidR="003F75FE" w:rsidRPr="00D27DB7">
        <w:t xml:space="preserve"> impact on human health. </w:t>
      </w:r>
      <w:r w:rsidR="005B6AA8" w:rsidRPr="00D27DB7">
        <w:t>For example, ozone</w:t>
      </w:r>
      <w:r w:rsidR="003D7B8C" w:rsidRPr="00D27DB7">
        <w:t xml:space="preserve"> (O</w:t>
      </w:r>
      <w:r w:rsidR="003D7B8C" w:rsidRPr="00D27DB7">
        <w:rPr>
          <w:vertAlign w:val="subscript"/>
        </w:rPr>
        <w:t>3</w:t>
      </w:r>
      <w:r w:rsidR="003D7B8C" w:rsidRPr="00D27DB7">
        <w:t>)</w:t>
      </w:r>
      <w:r w:rsidR="005B6AA8" w:rsidRPr="00D27DB7">
        <w:t xml:space="preserve"> is formed when volatile organic compounds </w:t>
      </w:r>
      <w:r w:rsidR="003D7B8C" w:rsidRPr="00D27DB7">
        <w:t xml:space="preserve">(VOCs) </w:t>
      </w:r>
      <w:r w:rsidR="005B6AA8" w:rsidRPr="00D27DB7">
        <w:t>and nitrous oxides</w:t>
      </w:r>
      <w:r w:rsidR="003D7B8C" w:rsidRPr="00D27DB7">
        <w:t xml:space="preserve"> (NO</w:t>
      </w:r>
      <w:r w:rsidR="003D7B8C" w:rsidRPr="00D27DB7">
        <w:rPr>
          <w:vertAlign w:val="subscript"/>
        </w:rPr>
        <w:t>x</w:t>
      </w:r>
      <w:r w:rsidR="003D7B8C" w:rsidRPr="00D27DB7">
        <w:t>)</w:t>
      </w:r>
      <w:r w:rsidR="005B6AA8" w:rsidRPr="00D27DB7">
        <w:t xml:space="preserve"> react in sunlight. </w:t>
      </w:r>
    </w:p>
    <w:p w14:paraId="5AEDA2D4" w14:textId="77777777" w:rsidR="007167A7" w:rsidRDefault="00D23648" w:rsidP="00D23648">
      <w:pPr>
        <w:pStyle w:val="BodyText"/>
      </w:pPr>
      <w:r w:rsidRPr="00D27DB7">
        <w:t>Exposure to common air pollutants – such as sulfur dioxide (SO</w:t>
      </w:r>
      <w:r w:rsidRPr="00D27DB7">
        <w:rPr>
          <w:vertAlign w:val="subscript"/>
        </w:rPr>
        <w:t>2</w:t>
      </w:r>
      <w:r w:rsidRPr="00D27DB7">
        <w:t>),</w:t>
      </w:r>
      <w:r w:rsidR="003D7B8C" w:rsidRPr="00D27DB7">
        <w:t xml:space="preserve"> </w:t>
      </w:r>
      <w:r w:rsidR="00D05AA8">
        <w:t>oxides</w:t>
      </w:r>
      <w:r w:rsidR="00C311D1" w:rsidRPr="00D27DB7">
        <w:t xml:space="preserve"> </w:t>
      </w:r>
      <w:r w:rsidR="00491CAE">
        <w:t xml:space="preserve">of nitrogen </w:t>
      </w:r>
      <w:r w:rsidRPr="00D27DB7">
        <w:t>(NO</w:t>
      </w:r>
      <w:r w:rsidRPr="00D27DB7">
        <w:rPr>
          <w:vertAlign w:val="subscript"/>
        </w:rPr>
        <w:t>X</w:t>
      </w:r>
      <w:r w:rsidRPr="00D27DB7">
        <w:t>), and fine particulate matter</w:t>
      </w:r>
      <w:r w:rsidR="004C7883" w:rsidRPr="00D27DB7">
        <w:t xml:space="preserve"> with an aerodynamic diameter smaller than</w:t>
      </w:r>
      <w:r w:rsidRPr="00D27DB7">
        <w:t xml:space="preserve"> 2.5µm and 10µm (PM</w:t>
      </w:r>
      <w:r w:rsidRPr="00D27DB7">
        <w:rPr>
          <w:vertAlign w:val="subscript"/>
        </w:rPr>
        <w:t xml:space="preserve">2.5 </w:t>
      </w:r>
      <w:r w:rsidRPr="00D27DB7">
        <w:t>and PM</w:t>
      </w:r>
      <w:r w:rsidRPr="00D27DB7">
        <w:rPr>
          <w:vertAlign w:val="subscript"/>
        </w:rPr>
        <w:t>10</w:t>
      </w:r>
      <w:r w:rsidRPr="00D27DB7">
        <w:t>) – are associated with a range of health impacts</w:t>
      </w:r>
      <w:r w:rsidR="00523886">
        <w:t xml:space="preserve">. </w:t>
      </w:r>
      <w:r w:rsidR="00523886" w:rsidRPr="00D27DB7">
        <w:t>There is a large body of evidence that shows a clear association between increases in PM</w:t>
      </w:r>
      <w:r w:rsidR="00523886" w:rsidRPr="00D27DB7">
        <w:rPr>
          <w:vertAlign w:val="subscript"/>
        </w:rPr>
        <w:t xml:space="preserve">2.5 </w:t>
      </w:r>
      <w:r w:rsidR="00523886" w:rsidRPr="00D27DB7">
        <w:t>exposure and effects on respiratory and cardiovascular conditions, and premature mortality</w:t>
      </w:r>
      <w:r w:rsidR="00523886" w:rsidRPr="00D27DB7">
        <w:rPr>
          <w:rStyle w:val="FootnoteReference"/>
        </w:rPr>
        <w:footnoteReference w:id="3"/>
      </w:r>
      <w:r w:rsidR="00523886" w:rsidRPr="00D27DB7">
        <w:t>. Exposure to PM</w:t>
      </w:r>
      <w:r w:rsidR="00523886" w:rsidRPr="00D27DB7">
        <w:rPr>
          <w:vertAlign w:val="subscript"/>
        </w:rPr>
        <w:t>10</w:t>
      </w:r>
      <w:r w:rsidR="00523886" w:rsidRPr="00D27DB7">
        <w:t>,</w:t>
      </w:r>
      <w:r w:rsidR="00523886" w:rsidRPr="00D27DB7">
        <w:rPr>
          <w:vertAlign w:val="subscript"/>
        </w:rPr>
        <w:t xml:space="preserve"> </w:t>
      </w:r>
      <w:r w:rsidR="00523886" w:rsidRPr="00D27DB7">
        <w:t>SO</w:t>
      </w:r>
      <w:r w:rsidR="00523886" w:rsidRPr="00D27DB7">
        <w:rPr>
          <w:vertAlign w:val="subscript"/>
        </w:rPr>
        <w:t>2,</w:t>
      </w:r>
      <w:r w:rsidR="00523886" w:rsidRPr="00D27DB7">
        <w:t xml:space="preserve"> </w:t>
      </w:r>
      <w:r w:rsidR="00523886">
        <w:t xml:space="preserve">and </w:t>
      </w:r>
      <w:r w:rsidR="00523886" w:rsidRPr="00D27DB7">
        <w:t>NO</w:t>
      </w:r>
      <w:r w:rsidR="00523886">
        <w:rPr>
          <w:vertAlign w:val="subscript"/>
        </w:rPr>
        <w:t>x</w:t>
      </w:r>
      <w:r w:rsidR="00523886" w:rsidRPr="00D27DB7">
        <w:rPr>
          <w:vertAlign w:val="subscript"/>
        </w:rPr>
        <w:t xml:space="preserve"> </w:t>
      </w:r>
      <w:r w:rsidR="00523886" w:rsidRPr="00D27DB7">
        <w:t>has also been found to exacerbate cardiac conditions, asthma and other respiratory symptoms and diseases</w:t>
      </w:r>
      <w:r w:rsidR="00523886" w:rsidRPr="00D27DB7">
        <w:rPr>
          <w:rStyle w:val="FootnoteReference"/>
        </w:rPr>
        <w:footnoteReference w:id="4"/>
      </w:r>
      <w:r w:rsidR="00523886">
        <w:t>.</w:t>
      </w:r>
      <w:r w:rsidR="007167A7">
        <w:t xml:space="preserve"> </w:t>
      </w:r>
    </w:p>
    <w:p w14:paraId="39CC5E77" w14:textId="01064F65" w:rsidR="00D23648" w:rsidRDefault="007167A7" w:rsidP="00D23648">
      <w:pPr>
        <w:pStyle w:val="BodyText"/>
      </w:pPr>
      <w:r>
        <w:t>E</w:t>
      </w:r>
      <w:r w:rsidR="0065497D" w:rsidRPr="00D27DB7">
        <w:t xml:space="preserve">vidence </w:t>
      </w:r>
      <w:r>
        <w:t xml:space="preserve">also shows </w:t>
      </w:r>
      <w:r w:rsidR="0065497D" w:rsidRPr="00D27DB7">
        <w:t xml:space="preserve">that even at concentrations below the current air quality standards, air pollution is </w:t>
      </w:r>
      <w:r w:rsidR="0035367D">
        <w:t xml:space="preserve">still </w:t>
      </w:r>
      <w:r w:rsidR="0065497D" w:rsidRPr="00D27DB7">
        <w:t>associated with adverse health effects</w:t>
      </w:r>
      <w:r w:rsidR="00BB0DAA" w:rsidRPr="00D27DB7">
        <w:rPr>
          <w:rStyle w:val="FootnoteReference"/>
        </w:rPr>
        <w:footnoteReference w:id="5"/>
      </w:r>
      <w:r w:rsidR="0065497D" w:rsidRPr="00D27DB7">
        <w:t>. For some pollutants (e.g. PM</w:t>
      </w:r>
      <w:r w:rsidR="0065497D" w:rsidRPr="00D27DB7">
        <w:rPr>
          <w:vertAlign w:val="subscript"/>
        </w:rPr>
        <w:t>2.5</w:t>
      </w:r>
      <w:r w:rsidR="00947288">
        <w:rPr>
          <w:vertAlign w:val="subscript"/>
        </w:rPr>
        <w:t xml:space="preserve"> </w:t>
      </w:r>
      <w:r w:rsidR="00947288">
        <w:t>and PM</w:t>
      </w:r>
      <w:r w:rsidR="00947288">
        <w:rPr>
          <w:vertAlign w:val="subscript"/>
        </w:rPr>
        <w:t>10</w:t>
      </w:r>
      <w:r w:rsidR="0065497D" w:rsidRPr="00D27DB7">
        <w:t>) there is no established level</w:t>
      </w:r>
      <w:r>
        <w:t xml:space="preserve"> (threshold</w:t>
      </w:r>
      <w:r>
        <w:rPr>
          <w:rStyle w:val="FootnoteReference"/>
        </w:rPr>
        <w:footnoteReference w:id="6"/>
      </w:r>
      <w:r>
        <w:t>)</w:t>
      </w:r>
      <w:r w:rsidR="0065497D" w:rsidRPr="00D27DB7">
        <w:t xml:space="preserve"> at which there are no observable impacts on human health – i.e. there is no ‘safe’ level of exposure.</w:t>
      </w:r>
    </w:p>
    <w:p w14:paraId="26241521" w14:textId="090CABE4" w:rsidR="00D56F4B" w:rsidRDefault="007D64F1" w:rsidP="007D64F1">
      <w:pPr>
        <w:pStyle w:val="BodyText"/>
      </w:pPr>
      <w:r w:rsidRPr="00D27DB7">
        <w:lastRenderedPageBreak/>
        <w:t>Victoria’s most common</w:t>
      </w:r>
      <w:r w:rsidR="00E90B0C">
        <w:t xml:space="preserve"> ambient (or outdoor) pollutants that may also cause localised air pollution </w:t>
      </w:r>
      <w:r w:rsidRPr="00D27DB7">
        <w:t>include</w:t>
      </w:r>
      <w:r w:rsidR="004D2D73" w:rsidRPr="00D27DB7">
        <w:t xml:space="preserve"> carbon monoxide (CO),</w:t>
      </w:r>
      <w:r w:rsidRPr="00D27DB7">
        <w:t xml:space="preserve"> SO</w:t>
      </w:r>
      <w:r w:rsidRPr="00D27DB7">
        <w:rPr>
          <w:vertAlign w:val="subscript"/>
        </w:rPr>
        <w:t>2</w:t>
      </w:r>
      <w:r w:rsidRPr="00D27DB7">
        <w:t>, NO</w:t>
      </w:r>
      <w:r w:rsidRPr="00D27DB7">
        <w:rPr>
          <w:vertAlign w:val="subscript"/>
        </w:rPr>
        <w:t>x</w:t>
      </w:r>
      <w:r w:rsidRPr="00D27DB7">
        <w:t xml:space="preserve">, </w:t>
      </w:r>
      <w:r w:rsidR="003F75FE" w:rsidRPr="00D27DB7">
        <w:t>O</w:t>
      </w:r>
      <w:r w:rsidR="003F75FE" w:rsidRPr="00D27DB7">
        <w:rPr>
          <w:vertAlign w:val="subscript"/>
        </w:rPr>
        <w:t>3</w:t>
      </w:r>
      <w:r w:rsidR="003F75FE" w:rsidRPr="00D27DB7">
        <w:t xml:space="preserve">, </w:t>
      </w:r>
      <w:r w:rsidRPr="00D27DB7">
        <w:t>PM</w:t>
      </w:r>
      <w:r w:rsidRPr="00D27DB7">
        <w:rPr>
          <w:vertAlign w:val="subscript"/>
        </w:rPr>
        <w:t xml:space="preserve">2.5 </w:t>
      </w:r>
      <w:r w:rsidRPr="00D27DB7">
        <w:t>and PM</w:t>
      </w:r>
      <w:r w:rsidRPr="00D27DB7">
        <w:rPr>
          <w:vertAlign w:val="subscript"/>
        </w:rPr>
        <w:t>10</w:t>
      </w:r>
      <w:r w:rsidRPr="00D27DB7">
        <w:t>.</w:t>
      </w:r>
      <w:r w:rsidRPr="00D27DB7">
        <w:rPr>
          <w:vertAlign w:val="subscript"/>
        </w:rPr>
        <w:t xml:space="preserve"> </w:t>
      </w:r>
      <w:r w:rsidRPr="00D27DB7">
        <w:t xml:space="preserve">Of these, </w:t>
      </w:r>
      <w:r w:rsidR="00CE5803">
        <w:t xml:space="preserve">fine </w:t>
      </w:r>
      <w:r w:rsidRPr="00D27DB7">
        <w:t>particulate matter (PM</w:t>
      </w:r>
      <w:r w:rsidR="00CE5803">
        <w:rPr>
          <w:vertAlign w:val="subscript"/>
        </w:rPr>
        <w:t>2.5</w:t>
      </w:r>
      <w:r w:rsidRPr="00D27DB7">
        <w:t>)</w:t>
      </w:r>
      <w:r w:rsidR="00CE5803">
        <w:t xml:space="preserve"> and ozone</w:t>
      </w:r>
      <w:r w:rsidRPr="00D27DB7">
        <w:t xml:space="preserve"> are of greatest concern for impacts on human health </w:t>
      </w:r>
      <w:r w:rsidR="00415A17">
        <w:t>and the environment. For PM</w:t>
      </w:r>
      <w:r w:rsidR="00415A17" w:rsidRPr="00415A17">
        <w:rPr>
          <w:vertAlign w:val="subscript"/>
        </w:rPr>
        <w:t>2.5</w:t>
      </w:r>
      <w:r w:rsidR="00415A17">
        <w:t xml:space="preserve"> this is </w:t>
      </w:r>
      <w:r w:rsidRPr="00D27DB7">
        <w:t>due to the</w:t>
      </w:r>
      <w:r w:rsidR="000A6C4A">
        <w:t xml:space="preserve"> pollutant’s </w:t>
      </w:r>
      <w:r w:rsidRPr="00D27DB7">
        <w:t>ongoing presence in ambient air,</w:t>
      </w:r>
      <w:r w:rsidR="000A6C4A">
        <w:t xml:space="preserve"> and</w:t>
      </w:r>
      <w:r w:rsidRPr="00D27DB7">
        <w:t xml:space="preserve"> the numerous sources which contribute to </w:t>
      </w:r>
      <w:r w:rsidR="000A6C4A">
        <w:t>its</w:t>
      </w:r>
      <w:r w:rsidRPr="00D27DB7">
        <w:t xml:space="preserve"> presence</w:t>
      </w:r>
      <w:r w:rsidR="000A6C4A">
        <w:t>; for O</w:t>
      </w:r>
      <w:r w:rsidR="000A6C4A">
        <w:rPr>
          <w:vertAlign w:val="subscript"/>
        </w:rPr>
        <w:t>3</w:t>
      </w:r>
      <w:r w:rsidR="000A6C4A">
        <w:t xml:space="preserve"> this is due to </w:t>
      </w:r>
      <w:r w:rsidRPr="00D27DB7">
        <w:t xml:space="preserve">the potential </w:t>
      </w:r>
      <w:r w:rsidR="000A6C4A">
        <w:t>for the presence of the pollutant to</w:t>
      </w:r>
      <w:r w:rsidRPr="00D27DB7">
        <w:t xml:space="preserve"> increase in the future with growing populations</w:t>
      </w:r>
      <w:r w:rsidR="00E967EB">
        <w:t xml:space="preserve"> and increasing temperatures</w:t>
      </w:r>
      <w:r w:rsidR="00943101" w:rsidRPr="00D27DB7">
        <w:rPr>
          <w:rStyle w:val="FootnoteReference"/>
        </w:rPr>
        <w:footnoteReference w:id="7"/>
      </w:r>
      <w:r w:rsidRPr="00D27DB7">
        <w:t xml:space="preserve">. </w:t>
      </w:r>
    </w:p>
    <w:p w14:paraId="4889652F" w14:textId="649036CB" w:rsidR="00D5684A" w:rsidRDefault="00EA63EA" w:rsidP="00D5684A">
      <w:pPr>
        <w:pStyle w:val="BodyText"/>
        <w:rPr>
          <w:lang w:eastAsia="en-AU"/>
        </w:rPr>
      </w:pPr>
      <w:r w:rsidRPr="00D46C60">
        <w:rPr>
          <w:lang w:eastAsia="en-AU"/>
        </w:rPr>
        <w:t>P</w:t>
      </w:r>
      <w:r w:rsidR="00D5684A" w:rsidRPr="00D46C60">
        <w:rPr>
          <w:lang w:eastAsia="en-AU"/>
        </w:rPr>
        <w:t>redictions for a drier, hotter climate means Victoria is likely to experience worsening heat waves and harsher bushfire seasons, which together with projected population increases, pose challenges to Victoria’s future air quality. Climate change is predicted to impact future air quality by altering the meteorological variables that influence the development, chemical transformation, transport dispersion and deposition of air pollutants</w:t>
      </w:r>
      <w:r w:rsidR="00D5684A" w:rsidRPr="00D46C60">
        <w:rPr>
          <w:rStyle w:val="FootnoteReference"/>
          <w:lang w:eastAsia="en-AU"/>
        </w:rPr>
        <w:footnoteReference w:id="8"/>
      </w:r>
      <w:r w:rsidR="00D5684A" w:rsidRPr="00D46C60">
        <w:rPr>
          <w:lang w:eastAsia="en-AU"/>
        </w:rPr>
        <w:t xml:space="preserve">. </w:t>
      </w:r>
      <w:r w:rsidR="001B3080" w:rsidRPr="00D46C60">
        <w:rPr>
          <w:lang w:eastAsia="en-AU"/>
        </w:rPr>
        <w:t>Climate change may also indirectly increase natural sources of PM by increasing fire weather, dust storms and affecting the production and dispersion of aeroallergens such as pollens and moulds</w:t>
      </w:r>
      <w:r w:rsidR="001B3080" w:rsidRPr="00D46C60">
        <w:rPr>
          <w:rStyle w:val="FootnoteReference"/>
          <w:lang w:eastAsia="en-AU"/>
        </w:rPr>
        <w:footnoteReference w:id="9"/>
      </w:r>
      <w:r w:rsidR="001B3080" w:rsidRPr="00D46C60">
        <w:rPr>
          <w:lang w:eastAsia="en-AU"/>
        </w:rPr>
        <w:t>.</w:t>
      </w:r>
    </w:p>
    <w:p w14:paraId="134AFAE5" w14:textId="1039D76B" w:rsidR="00681E6E" w:rsidRPr="004D2D73" w:rsidRDefault="006E779D" w:rsidP="006E779D">
      <w:pPr>
        <w:pStyle w:val="BodyText"/>
      </w:pPr>
      <w:r>
        <w:t>Actions to reduce GHG emissions often reduce co-emitted air pollutants, bringing co-benefits for air quality and human health</w:t>
      </w:r>
      <w:r>
        <w:rPr>
          <w:rStyle w:val="FootnoteReference"/>
        </w:rPr>
        <w:footnoteReference w:id="10"/>
      </w:r>
      <w:r>
        <w:t xml:space="preserve">. </w:t>
      </w:r>
      <w:r w:rsidR="00681E6E" w:rsidRPr="004D2D73">
        <w:t xml:space="preserve">This paper </w:t>
      </w:r>
      <w:r w:rsidR="0085551A" w:rsidRPr="004D2D73">
        <w:t>summarises the available evidence to</w:t>
      </w:r>
      <w:r w:rsidR="00681E6E" w:rsidRPr="004D2D73">
        <w:t xml:space="preserve"> estimate the health costs </w:t>
      </w:r>
      <w:r w:rsidR="00681E6E" w:rsidRPr="0033229B">
        <w:t xml:space="preserve">associated with localised air pollution in Victoria, </w:t>
      </w:r>
      <w:r w:rsidR="00D05AA8" w:rsidRPr="0033229B">
        <w:t>from</w:t>
      </w:r>
      <w:r w:rsidR="00681E6E" w:rsidRPr="0033229B">
        <w:t xml:space="preserve"> </w:t>
      </w:r>
      <w:r w:rsidR="00F75905" w:rsidRPr="0033229B">
        <w:t xml:space="preserve">fossil fuel </w:t>
      </w:r>
      <w:r w:rsidR="00D05AA8">
        <w:t>use</w:t>
      </w:r>
      <w:r w:rsidR="00F75905" w:rsidRPr="004D2D73">
        <w:t xml:space="preserve"> </w:t>
      </w:r>
      <w:r w:rsidR="00681E6E" w:rsidRPr="004D2D73">
        <w:t>in the</w:t>
      </w:r>
      <w:r w:rsidR="00F75905" w:rsidRPr="004D2D73">
        <w:t xml:space="preserve"> electricity and transport</w:t>
      </w:r>
      <w:r w:rsidR="00681E6E" w:rsidRPr="004D2D73">
        <w:t xml:space="preserve"> sectors. </w:t>
      </w:r>
    </w:p>
    <w:p w14:paraId="4D0881D9" w14:textId="0BE93C3D" w:rsidR="009967DD" w:rsidRDefault="001F4CFA" w:rsidP="004D2D73">
      <w:pPr>
        <w:pStyle w:val="BodyText"/>
        <w:rPr>
          <w:lang w:eastAsia="en-AU"/>
        </w:rPr>
      </w:pPr>
      <w:r w:rsidRPr="004D2D73">
        <w:t>The next section of this paper provides estimates of the total current health cost of air pollution in Victoria</w:t>
      </w:r>
      <w:r w:rsidR="00ED05AD">
        <w:t xml:space="preserve"> in 2018</w:t>
      </w:r>
      <w:r w:rsidRPr="004D2D73">
        <w:t xml:space="preserve">. </w:t>
      </w:r>
      <w:r w:rsidR="00ED05AD">
        <w:t>For the electricity sector, t</w:t>
      </w:r>
      <w:r w:rsidRPr="004D2D73">
        <w:t xml:space="preserve">hese estimates have been calculated using damage costs from the existing literature, and cover </w:t>
      </w:r>
      <w:r w:rsidR="00B049DD" w:rsidRPr="004D2D73">
        <w:t xml:space="preserve">the </w:t>
      </w:r>
      <w:r w:rsidR="00CB501E">
        <w:t xml:space="preserve">air </w:t>
      </w:r>
      <w:r w:rsidRPr="004D2D73">
        <w:t>pollutants SO</w:t>
      </w:r>
      <w:r w:rsidRPr="00C7116F">
        <w:rPr>
          <w:vertAlign w:val="subscript"/>
        </w:rPr>
        <w:t>2</w:t>
      </w:r>
      <w:r w:rsidRPr="004D2D73">
        <w:t>, NO</w:t>
      </w:r>
      <w:r w:rsidRPr="00C7116F">
        <w:rPr>
          <w:vertAlign w:val="subscript"/>
        </w:rPr>
        <w:t>x</w:t>
      </w:r>
      <w:r w:rsidRPr="004D2D73">
        <w:t>, PM</w:t>
      </w:r>
      <w:r w:rsidRPr="00C7116F">
        <w:rPr>
          <w:vertAlign w:val="subscript"/>
        </w:rPr>
        <w:t xml:space="preserve">2.5 </w:t>
      </w:r>
      <w:r w:rsidRPr="004D2D73">
        <w:t>and PM</w:t>
      </w:r>
      <w:r w:rsidRPr="00C7116F">
        <w:rPr>
          <w:vertAlign w:val="subscript"/>
        </w:rPr>
        <w:t>10</w:t>
      </w:r>
      <w:r w:rsidRPr="004D2D73">
        <w:t>.</w:t>
      </w:r>
      <w:r w:rsidR="00EC1D63">
        <w:t xml:space="preserve"> </w:t>
      </w:r>
      <w:r w:rsidR="004548BA">
        <w:t xml:space="preserve">The various damage costs have been combined with </w:t>
      </w:r>
      <w:r w:rsidR="004548BA">
        <w:rPr>
          <w:lang w:eastAsia="en-AU"/>
        </w:rPr>
        <w:t>air pollutant emissions and electricity generation data from the National Pollutant Inventory (NPI) and the Clean Energy Regulator (CER)</w:t>
      </w:r>
      <w:r w:rsidR="00431E91">
        <w:rPr>
          <w:lang w:eastAsia="en-AU"/>
        </w:rPr>
        <w:t xml:space="preserve"> to calculate </w:t>
      </w:r>
      <w:r w:rsidR="00ED05AD">
        <w:rPr>
          <w:lang w:eastAsia="en-AU"/>
        </w:rPr>
        <w:t xml:space="preserve">the </w:t>
      </w:r>
      <w:r w:rsidR="00431E91">
        <w:rPr>
          <w:lang w:eastAsia="en-AU"/>
        </w:rPr>
        <w:t>estimated health costs of air pollution</w:t>
      </w:r>
      <w:r w:rsidR="001E55FF">
        <w:rPr>
          <w:lang w:eastAsia="en-AU"/>
        </w:rPr>
        <w:t>.</w:t>
      </w:r>
      <w:r w:rsidR="00090A51">
        <w:rPr>
          <w:lang w:eastAsia="en-AU"/>
        </w:rPr>
        <w:t xml:space="preserve"> Given the lack of Australian specific damage costs, </w:t>
      </w:r>
      <w:proofErr w:type="gramStart"/>
      <w:r w:rsidR="00090A51">
        <w:rPr>
          <w:lang w:eastAsia="en-AU"/>
        </w:rPr>
        <w:t xml:space="preserve">a </w:t>
      </w:r>
      <w:r w:rsidR="00ED05AD">
        <w:rPr>
          <w:lang w:eastAsia="en-AU"/>
        </w:rPr>
        <w:t>number</w:t>
      </w:r>
      <w:r w:rsidR="00090A51">
        <w:rPr>
          <w:lang w:eastAsia="en-AU"/>
        </w:rPr>
        <w:t xml:space="preserve"> of</w:t>
      </w:r>
      <w:proofErr w:type="gramEnd"/>
      <w:r w:rsidR="00090A51">
        <w:rPr>
          <w:lang w:eastAsia="en-AU"/>
        </w:rPr>
        <w:t xml:space="preserve"> damage costs from various studies have been considered</w:t>
      </w:r>
      <w:r w:rsidR="00DE5C57">
        <w:rPr>
          <w:lang w:eastAsia="en-AU"/>
        </w:rPr>
        <w:t>, and a range of health cost estimates have been produced.</w:t>
      </w:r>
      <w:r w:rsidR="008256BB">
        <w:rPr>
          <w:lang w:eastAsia="en-AU"/>
        </w:rPr>
        <w:t xml:space="preserve"> </w:t>
      </w:r>
    </w:p>
    <w:p w14:paraId="6734D5BF" w14:textId="48614A99" w:rsidR="00EC1D63" w:rsidRDefault="008256BB" w:rsidP="004D2D73">
      <w:pPr>
        <w:pStyle w:val="BodyText"/>
      </w:pPr>
      <w:r>
        <w:rPr>
          <w:lang w:eastAsia="en-AU"/>
        </w:rPr>
        <w:t xml:space="preserve">For the transport sector, some studies </w:t>
      </w:r>
      <w:r w:rsidR="009967DD">
        <w:rPr>
          <w:lang w:eastAsia="en-AU"/>
        </w:rPr>
        <w:t xml:space="preserve">in the existing literature have calculated the health costs </w:t>
      </w:r>
      <w:r w:rsidR="00996B88">
        <w:rPr>
          <w:lang w:eastAsia="en-AU"/>
        </w:rPr>
        <w:t>of air pollution in the</w:t>
      </w:r>
      <w:r w:rsidR="009967DD">
        <w:rPr>
          <w:lang w:eastAsia="en-AU"/>
        </w:rPr>
        <w:t xml:space="preserve"> Australia</w:t>
      </w:r>
      <w:r w:rsidR="00996B88">
        <w:rPr>
          <w:lang w:eastAsia="en-AU"/>
        </w:rPr>
        <w:t>n context</w:t>
      </w:r>
      <w:r w:rsidR="002E447D">
        <w:rPr>
          <w:lang w:eastAsia="en-AU"/>
        </w:rPr>
        <w:t xml:space="preserve">, and where necessary these figures have been adjusted to </w:t>
      </w:r>
      <w:r w:rsidR="006F03EE">
        <w:rPr>
          <w:lang w:eastAsia="en-AU"/>
        </w:rPr>
        <w:t xml:space="preserve">estimate the health costs of air pollution in Victoria or Melbourne. </w:t>
      </w:r>
    </w:p>
    <w:p w14:paraId="5F78D2E0" w14:textId="3DE2CF5F" w:rsidR="00B85009" w:rsidRPr="004D2D73" w:rsidRDefault="00AA50C2" w:rsidP="004D2D73">
      <w:pPr>
        <w:pStyle w:val="BodyText"/>
      </w:pPr>
      <w:r>
        <w:t>It is important to note that as</w:t>
      </w:r>
      <w:r w:rsidR="00C7116F" w:rsidRPr="004D2D73">
        <w:t xml:space="preserve"> ozone is a secondary pollutant, the reduction of NO</w:t>
      </w:r>
      <w:r w:rsidR="00C7116F">
        <w:rPr>
          <w:vertAlign w:val="subscript"/>
        </w:rPr>
        <w:t>x</w:t>
      </w:r>
      <w:r w:rsidR="00C7116F">
        <w:t xml:space="preserve"> </w:t>
      </w:r>
      <w:r w:rsidR="00C7116F" w:rsidRPr="004D2D73">
        <w:t>through GHG emissions abatement opportunities will likely influence O</w:t>
      </w:r>
      <w:r w:rsidR="00C7116F" w:rsidRPr="00C7116F">
        <w:rPr>
          <w:vertAlign w:val="subscript"/>
        </w:rPr>
        <w:t>3</w:t>
      </w:r>
      <w:r w:rsidR="00C7116F" w:rsidRPr="004D2D73">
        <w:t xml:space="preserve"> generation and </w:t>
      </w:r>
      <w:r w:rsidR="00EF1B11">
        <w:t xml:space="preserve">may </w:t>
      </w:r>
      <w:r w:rsidR="00C7116F" w:rsidRPr="004D2D73">
        <w:t xml:space="preserve">provide </w:t>
      </w:r>
      <w:r w:rsidR="004030E9">
        <w:t xml:space="preserve">further </w:t>
      </w:r>
      <w:r w:rsidR="00C7116F" w:rsidRPr="004D2D73">
        <w:t>health benefits.</w:t>
      </w:r>
      <w:r w:rsidR="001F4CFA" w:rsidRPr="004D2D73">
        <w:t xml:space="preserve"> </w:t>
      </w:r>
      <w:r w:rsidR="00DA7536">
        <w:t>D</w:t>
      </w:r>
      <w:r w:rsidR="001F4CFA" w:rsidRPr="004D2D73">
        <w:t xml:space="preserve">amage costs for ozone are not </w:t>
      </w:r>
      <w:r w:rsidR="00B85009" w:rsidRPr="004D2D73">
        <w:t>readily available</w:t>
      </w:r>
      <w:r w:rsidR="001F4CFA" w:rsidRPr="004D2D73">
        <w:t xml:space="preserve"> </w:t>
      </w:r>
      <w:r w:rsidR="00887D07" w:rsidRPr="004D2D73">
        <w:t>in the existing literature</w:t>
      </w:r>
      <w:r w:rsidR="004D2D73">
        <w:rPr>
          <w:rStyle w:val="FootnoteReference"/>
        </w:rPr>
        <w:footnoteReference w:id="11"/>
      </w:r>
      <w:r w:rsidR="00887D07" w:rsidRPr="004D2D73">
        <w:t xml:space="preserve">, and </w:t>
      </w:r>
      <w:r w:rsidR="00887D07" w:rsidRPr="00705A69">
        <w:t>so the health cost</w:t>
      </w:r>
      <w:r w:rsidR="00B85009" w:rsidRPr="00705A69">
        <w:t>s</w:t>
      </w:r>
      <w:r w:rsidR="00887D07" w:rsidRPr="00705A69">
        <w:t xml:space="preserve"> of ozone </w:t>
      </w:r>
      <w:r w:rsidR="00B85009" w:rsidRPr="00705A69">
        <w:t>are not quantified in this paper</w:t>
      </w:r>
      <w:r w:rsidR="00887D07" w:rsidRPr="00705A69">
        <w:t>.</w:t>
      </w:r>
      <w:r w:rsidR="00B85009" w:rsidRPr="00705A69">
        <w:t xml:space="preserve"> This is a potentially significant gap </w:t>
      </w:r>
      <w:r w:rsidR="00CF3698" w:rsidRPr="00705A69">
        <w:t>and</w:t>
      </w:r>
      <w:r w:rsidR="00B85009" w:rsidRPr="00705A69">
        <w:t xml:space="preserve"> means the health cost estimates could be quite conservative.</w:t>
      </w:r>
    </w:p>
    <w:p w14:paraId="7BECF3AB" w14:textId="77777777" w:rsidR="00D23648" w:rsidRDefault="00D23648" w:rsidP="00D23648">
      <w:pPr>
        <w:pStyle w:val="Heading2"/>
      </w:pPr>
      <w:r>
        <w:t xml:space="preserve">Estimates of total sector-specific health costs to Victoria </w:t>
      </w:r>
    </w:p>
    <w:p w14:paraId="2C858D7A" w14:textId="0DB8A73C" w:rsidR="004D2D73" w:rsidRDefault="004D2D73" w:rsidP="004D2D73">
      <w:pPr>
        <w:pStyle w:val="BodyText"/>
      </w:pPr>
      <w:r>
        <w:t>In Victoria, the main sources of air pollution are motor-vehicles, power generating industries, and smoke from bushfires, planned burns and wood heaters</w:t>
      </w:r>
      <w:r>
        <w:rPr>
          <w:rStyle w:val="FootnoteReference"/>
        </w:rPr>
        <w:footnoteReference w:id="12"/>
      </w:r>
      <w:r>
        <w:t xml:space="preserve">. </w:t>
      </w:r>
      <w:r w:rsidR="00200347">
        <w:t>T</w:t>
      </w:r>
      <w:r>
        <w:t>he</w:t>
      </w:r>
      <w:r w:rsidR="00200347">
        <w:t xml:space="preserve"> e</w:t>
      </w:r>
      <w:r>
        <w:t>lectricity and transport sectors are the two largest emitters of GHG emissions – respectively contributing 52 per cent and 16.2 per cent shares of total Victorian GHG emissions in 2016</w:t>
      </w:r>
      <w:r>
        <w:rPr>
          <w:rStyle w:val="FootnoteReference"/>
        </w:rPr>
        <w:footnoteReference w:id="13"/>
      </w:r>
      <w:r>
        <w:t xml:space="preserve">. </w:t>
      </w:r>
    </w:p>
    <w:p w14:paraId="1A914702" w14:textId="261EA9A0" w:rsidR="004D2D73" w:rsidRPr="004D2D73" w:rsidRDefault="004D2D73" w:rsidP="004D2D73">
      <w:pPr>
        <w:pStyle w:val="BodyText"/>
      </w:pPr>
      <w:r w:rsidRPr="004D2D73">
        <w:t xml:space="preserve">For power generation, health costs mostly fall on local populations – in Victoria this means the health costs associated with the electricity sector are concentrated in the Latrobe Valley region. For transport, health costs are </w:t>
      </w:r>
      <w:r w:rsidRPr="004D2D73">
        <w:lastRenderedPageBreak/>
        <w:t xml:space="preserve">largely concentrated in urban areas – </w:t>
      </w:r>
      <w:r w:rsidR="00AA5E3D">
        <w:t>e.g.</w:t>
      </w:r>
      <w:r w:rsidRPr="004D2D73">
        <w:t xml:space="preserve"> the Greater Melbourne region, with greater population density near major roads where pollutant concentrations are higher.</w:t>
      </w:r>
    </w:p>
    <w:p w14:paraId="6E9D5A98" w14:textId="3866966C" w:rsidR="004D2D73" w:rsidRDefault="004D2D73" w:rsidP="004D2D73">
      <w:pPr>
        <w:pStyle w:val="Heading3"/>
      </w:pPr>
      <w:r>
        <w:t>Damage costs</w:t>
      </w:r>
    </w:p>
    <w:p w14:paraId="36F9FEC1" w14:textId="26DDE8AE" w:rsidR="008E7679" w:rsidRDefault="002F59D8" w:rsidP="00681E6E">
      <w:pPr>
        <w:pStyle w:val="BodyText"/>
      </w:pPr>
      <w:r w:rsidRPr="00681E6E">
        <w:t xml:space="preserve">Various studies around the world looking at the health costs of air pollution have adopted models which allow direct valuation based on </w:t>
      </w:r>
      <w:r w:rsidR="008B28E1">
        <w:t xml:space="preserve">air pollutant </w:t>
      </w:r>
      <w:r w:rsidRPr="00681E6E">
        <w:t>emissions. These ‘damage costs’ are commonly generated using an impact pathway approach</w:t>
      </w:r>
      <w:r w:rsidR="00404F44">
        <w:rPr>
          <w:rStyle w:val="FootnoteReference"/>
        </w:rPr>
        <w:footnoteReference w:id="14"/>
      </w:r>
      <w:r w:rsidRPr="00681E6E">
        <w:t>, which produce stated costs per tonne</w:t>
      </w:r>
      <w:r w:rsidR="00C7116F">
        <w:t xml:space="preserve"> of pollutant</w:t>
      </w:r>
      <w:r w:rsidR="002A1CE5">
        <w:t xml:space="preserve"> </w:t>
      </w:r>
      <w:r w:rsidRPr="00681E6E">
        <w:t>or per m</w:t>
      </w:r>
      <w:r w:rsidR="00C7116F">
        <w:t>egawatt hour (MWh) of electricity generated</w:t>
      </w:r>
      <w:r w:rsidRPr="00681E6E">
        <w:t xml:space="preserve">. </w:t>
      </w:r>
    </w:p>
    <w:p w14:paraId="3E899EEF" w14:textId="70647C77" w:rsidR="002F59D8" w:rsidRPr="00681E6E" w:rsidRDefault="00846A36" w:rsidP="00681E6E">
      <w:pPr>
        <w:pStyle w:val="BodyText"/>
      </w:pPr>
      <w:r w:rsidRPr="00FF5A85">
        <w:t>These costs</w:t>
      </w:r>
      <w:r w:rsidR="004F5241" w:rsidRPr="00FF5A85">
        <w:t xml:space="preserve"> </w:t>
      </w:r>
      <w:r w:rsidR="00EA1599" w:rsidRPr="00FF5A85">
        <w:t xml:space="preserve">are derived </w:t>
      </w:r>
      <w:r w:rsidR="001664FC" w:rsidRPr="00FF5A85">
        <w:t>using monetary valuations of</w:t>
      </w:r>
      <w:r w:rsidR="00263F25" w:rsidRPr="00FF5A85">
        <w:t xml:space="preserve"> mortality and morbidity impacts. </w:t>
      </w:r>
      <w:r w:rsidR="00312F21" w:rsidRPr="00FF5A85">
        <w:t xml:space="preserve">Mortality impacts are </w:t>
      </w:r>
      <w:r w:rsidR="0057270E" w:rsidRPr="00FF5A85">
        <w:t xml:space="preserve">based on </w:t>
      </w:r>
      <w:r w:rsidR="00060BDF">
        <w:t xml:space="preserve">estimates of </w:t>
      </w:r>
      <w:r w:rsidR="00291C2C">
        <w:t xml:space="preserve">how much society is willing to pay to reduce the risk of death </w:t>
      </w:r>
      <w:r w:rsidR="005F262D" w:rsidRPr="00FF5A85">
        <w:t xml:space="preserve">– </w:t>
      </w:r>
      <w:r w:rsidR="005B4D79" w:rsidRPr="00FF5A85">
        <w:t xml:space="preserve">which is </w:t>
      </w:r>
      <w:r w:rsidR="005F262D" w:rsidRPr="00FF5A85">
        <w:t xml:space="preserve">known as the </w:t>
      </w:r>
      <w:r w:rsidR="005B4D79" w:rsidRPr="00FF5A85">
        <w:t>‘</w:t>
      </w:r>
      <w:r w:rsidR="005F262D" w:rsidRPr="00FF5A85">
        <w:t>value of statistical life</w:t>
      </w:r>
      <w:r w:rsidR="005B4D79" w:rsidRPr="00FF5A85">
        <w:t>’</w:t>
      </w:r>
      <w:r w:rsidR="005F262D" w:rsidRPr="00FF5A85">
        <w:t xml:space="preserve">. </w:t>
      </w:r>
      <w:r w:rsidR="009C4455">
        <w:t xml:space="preserve">The value of statistical life can be </w:t>
      </w:r>
      <w:r w:rsidR="00AC622F">
        <w:t>estimate</w:t>
      </w:r>
      <w:r w:rsidR="008125E7">
        <w:t>d</w:t>
      </w:r>
      <w:r w:rsidR="00AC622F">
        <w:t xml:space="preserve"> from preferences revealed in markets (for example through wage premium</w:t>
      </w:r>
      <w:r w:rsidR="008125E7">
        <w:t>s</w:t>
      </w:r>
      <w:r w:rsidR="00AC622F">
        <w:t xml:space="preserve"> workers receive for </w:t>
      </w:r>
      <w:r w:rsidR="001276F0">
        <w:t xml:space="preserve">higher </w:t>
      </w:r>
      <w:r w:rsidR="00AC622F">
        <w:t>risk</w:t>
      </w:r>
      <w:r w:rsidR="001276F0">
        <w:t xml:space="preserve"> jobs</w:t>
      </w:r>
      <w:r w:rsidR="00AC622F">
        <w:t xml:space="preserve">). </w:t>
      </w:r>
      <w:r w:rsidR="000E6A00" w:rsidRPr="00FF5A85">
        <w:t xml:space="preserve">Morbidity impacts are based on cost of illness estimates which include </w:t>
      </w:r>
      <w:r w:rsidR="00D60CB6" w:rsidRPr="00FF5A85">
        <w:t xml:space="preserve">direct </w:t>
      </w:r>
      <w:r w:rsidR="0030071E" w:rsidRPr="00FF5A85">
        <w:t xml:space="preserve">costs of medical treatment (such as </w:t>
      </w:r>
      <w:r w:rsidR="00D60CB6" w:rsidRPr="00FF5A85">
        <w:t xml:space="preserve">hospital, care and drug expenses) </w:t>
      </w:r>
      <w:r w:rsidR="006500AB" w:rsidRPr="00FF5A85">
        <w:t>and indirect costs</w:t>
      </w:r>
      <w:r w:rsidR="005B4D79" w:rsidRPr="00FF5A85">
        <w:t xml:space="preserve"> (</w:t>
      </w:r>
      <w:r w:rsidR="006500AB" w:rsidRPr="00FF5A85">
        <w:t>such as the value of output lost</w:t>
      </w:r>
      <w:r w:rsidR="00260A32">
        <w:t xml:space="preserve"> due to </w:t>
      </w:r>
      <w:r w:rsidR="00D5351B">
        <w:t>health-related absences at work</w:t>
      </w:r>
      <w:r w:rsidR="005B4D79" w:rsidRPr="00FF5A85">
        <w:t>)</w:t>
      </w:r>
      <w:r w:rsidR="006500AB" w:rsidRPr="00FF5A85">
        <w:t>.</w:t>
      </w:r>
      <w:r w:rsidR="006500AB">
        <w:t xml:space="preserve"> </w:t>
      </w:r>
    </w:p>
    <w:p w14:paraId="1BC027FB" w14:textId="40EF87E0" w:rsidR="002A1CE5" w:rsidRDefault="002F59D8" w:rsidP="002F59D8">
      <w:pPr>
        <w:pStyle w:val="BodyText"/>
        <w:rPr>
          <w:lang w:eastAsia="en-AU"/>
        </w:rPr>
      </w:pPr>
      <w:r>
        <w:rPr>
          <w:lang w:eastAsia="en-AU"/>
        </w:rPr>
        <w:t xml:space="preserve">Damage costs for specific countries or jurisdictions are generated </w:t>
      </w:r>
      <w:r w:rsidR="0075460B">
        <w:rPr>
          <w:lang w:eastAsia="en-AU"/>
        </w:rPr>
        <w:t>using</w:t>
      </w:r>
      <w:r>
        <w:rPr>
          <w:lang w:eastAsia="en-AU"/>
        </w:rPr>
        <w:t xml:space="preserve"> location-specific inputs and data (such as </w:t>
      </w:r>
      <w:r w:rsidR="00650684">
        <w:rPr>
          <w:lang w:eastAsia="en-AU"/>
        </w:rPr>
        <w:t>emissio</w:t>
      </w:r>
      <w:r w:rsidR="00D10CA1">
        <w:rPr>
          <w:lang w:eastAsia="en-AU"/>
        </w:rPr>
        <w:t xml:space="preserve">ns modelling, </w:t>
      </w:r>
      <w:r>
        <w:rPr>
          <w:lang w:eastAsia="en-AU"/>
        </w:rPr>
        <w:t>population densities</w:t>
      </w:r>
      <w:r w:rsidR="00D10CA1">
        <w:rPr>
          <w:lang w:eastAsia="en-AU"/>
        </w:rPr>
        <w:t>, health risk assessments and health costs</w:t>
      </w:r>
      <w:r>
        <w:rPr>
          <w:lang w:eastAsia="en-AU"/>
        </w:rPr>
        <w:t>).</w:t>
      </w:r>
      <w:r w:rsidR="00650684">
        <w:rPr>
          <w:lang w:eastAsia="en-AU"/>
        </w:rPr>
        <w:t xml:space="preserve"> </w:t>
      </w:r>
      <w:r>
        <w:rPr>
          <w:lang w:eastAsia="en-AU"/>
        </w:rPr>
        <w:t>Australia</w:t>
      </w:r>
      <w:r w:rsidR="00650684">
        <w:rPr>
          <w:lang w:eastAsia="en-AU"/>
        </w:rPr>
        <w:t>, however,</w:t>
      </w:r>
      <w:r>
        <w:rPr>
          <w:lang w:eastAsia="en-AU"/>
        </w:rPr>
        <w:t xml:space="preserve"> </w:t>
      </w:r>
      <w:r w:rsidR="00650684">
        <w:rPr>
          <w:lang w:eastAsia="en-AU"/>
        </w:rPr>
        <w:t>currently lacks</w:t>
      </w:r>
      <w:r w:rsidR="00681E6E">
        <w:rPr>
          <w:lang w:eastAsia="en-AU"/>
        </w:rPr>
        <w:t xml:space="preserve"> the</w:t>
      </w:r>
      <w:r w:rsidR="00650684">
        <w:rPr>
          <w:lang w:eastAsia="en-AU"/>
        </w:rPr>
        <w:t xml:space="preserve"> </w:t>
      </w:r>
      <w:r w:rsidR="005A79C6">
        <w:rPr>
          <w:lang w:eastAsia="en-AU"/>
        </w:rPr>
        <w:t xml:space="preserve">required </w:t>
      </w:r>
      <w:proofErr w:type="gramStart"/>
      <w:r w:rsidR="00650684">
        <w:rPr>
          <w:lang w:eastAsia="en-AU"/>
        </w:rPr>
        <w:t>sufficient</w:t>
      </w:r>
      <w:proofErr w:type="gramEnd"/>
      <w:r w:rsidR="005A79C6">
        <w:rPr>
          <w:lang w:eastAsia="en-AU"/>
        </w:rPr>
        <w:t xml:space="preserve">, </w:t>
      </w:r>
      <w:r w:rsidR="00650684">
        <w:rPr>
          <w:lang w:eastAsia="en-AU"/>
        </w:rPr>
        <w:t>readily available data to undertake a full impact pathway process and generate location-specific damage costs</w:t>
      </w:r>
      <w:r w:rsidR="00780D9C">
        <w:rPr>
          <w:lang w:eastAsia="en-AU"/>
        </w:rPr>
        <w:t>.</w:t>
      </w:r>
      <w:r w:rsidR="00650684">
        <w:rPr>
          <w:lang w:eastAsia="en-AU"/>
        </w:rPr>
        <w:t xml:space="preserve"> </w:t>
      </w:r>
      <w:r w:rsidR="00780D9C">
        <w:rPr>
          <w:lang w:eastAsia="en-AU"/>
        </w:rPr>
        <w:t>Therefore, it is</w:t>
      </w:r>
      <w:r w:rsidR="00D1587A">
        <w:rPr>
          <w:lang w:eastAsia="en-AU"/>
        </w:rPr>
        <w:t xml:space="preserve"> </w:t>
      </w:r>
      <w:r w:rsidR="00650684">
        <w:rPr>
          <w:lang w:eastAsia="en-AU"/>
        </w:rPr>
        <w:t>commo</w:t>
      </w:r>
      <w:r w:rsidR="00D1587A">
        <w:rPr>
          <w:lang w:eastAsia="en-AU"/>
        </w:rPr>
        <w:t>n</w:t>
      </w:r>
      <w:r w:rsidR="00650684">
        <w:rPr>
          <w:lang w:eastAsia="en-AU"/>
        </w:rPr>
        <w:t xml:space="preserve">place in Australian studies to use damage costs </w:t>
      </w:r>
      <w:r w:rsidR="00780D9C">
        <w:rPr>
          <w:lang w:eastAsia="en-AU"/>
        </w:rPr>
        <w:t xml:space="preserve">derived </w:t>
      </w:r>
      <w:r w:rsidR="00650684">
        <w:rPr>
          <w:lang w:eastAsia="en-AU"/>
        </w:rPr>
        <w:t xml:space="preserve">from overseas </w:t>
      </w:r>
      <w:r w:rsidR="00D1587A">
        <w:rPr>
          <w:lang w:eastAsia="en-AU"/>
        </w:rPr>
        <w:t>locations and</w:t>
      </w:r>
      <w:r w:rsidR="00650684">
        <w:rPr>
          <w:lang w:eastAsia="en-AU"/>
        </w:rPr>
        <w:t xml:space="preserve"> adjust these for </w:t>
      </w:r>
      <w:r w:rsidR="004F5553">
        <w:rPr>
          <w:lang w:eastAsia="en-AU"/>
        </w:rPr>
        <w:t>the</w:t>
      </w:r>
      <w:r w:rsidR="00650684">
        <w:rPr>
          <w:lang w:eastAsia="en-AU"/>
        </w:rPr>
        <w:t xml:space="preserve"> Australia</w:t>
      </w:r>
      <w:r w:rsidR="004F5553">
        <w:rPr>
          <w:lang w:eastAsia="en-AU"/>
        </w:rPr>
        <w:t>n context</w:t>
      </w:r>
      <w:r w:rsidR="00650684">
        <w:rPr>
          <w:rStyle w:val="FootnoteReference"/>
          <w:lang w:eastAsia="en-AU"/>
        </w:rPr>
        <w:footnoteReference w:id="15"/>
      </w:r>
      <w:r w:rsidR="00650684">
        <w:rPr>
          <w:lang w:eastAsia="en-AU"/>
        </w:rPr>
        <w:t>.</w:t>
      </w:r>
      <w:r w:rsidR="00D1587A">
        <w:rPr>
          <w:lang w:eastAsia="en-AU"/>
        </w:rPr>
        <w:t xml:space="preserve"> </w:t>
      </w:r>
    </w:p>
    <w:p w14:paraId="306BCD3B" w14:textId="0A8C35B9" w:rsidR="002A1CE5" w:rsidRPr="002A1CE5" w:rsidRDefault="002A1CE5" w:rsidP="002F59D8">
      <w:pPr>
        <w:pStyle w:val="BodyText"/>
      </w:pPr>
      <w:r>
        <w:rPr>
          <w:lang w:eastAsia="en-AU"/>
        </w:rPr>
        <w:t xml:space="preserve">The lack of Australian produced damage costs </w:t>
      </w:r>
      <w:r w:rsidR="0075460B">
        <w:rPr>
          <w:lang w:eastAsia="en-AU"/>
        </w:rPr>
        <w:t>reduces</w:t>
      </w:r>
      <w:r w:rsidR="00CF6381">
        <w:rPr>
          <w:lang w:eastAsia="en-AU"/>
        </w:rPr>
        <w:t xml:space="preserve"> </w:t>
      </w:r>
      <w:r w:rsidR="00CF6381" w:rsidRPr="00561E87">
        <w:t xml:space="preserve">the level of confidence we can have in the estimates of </w:t>
      </w:r>
      <w:r w:rsidR="009A1606" w:rsidRPr="00561E87">
        <w:t xml:space="preserve">the </w:t>
      </w:r>
      <w:r w:rsidR="00CF6381" w:rsidRPr="00561E87">
        <w:t>health costs of air pollution</w:t>
      </w:r>
      <w:r w:rsidR="009A1606" w:rsidRPr="00561E87">
        <w:t xml:space="preserve"> for Victoria</w:t>
      </w:r>
      <w:r w:rsidR="00CF6381" w:rsidRPr="00561E87">
        <w:t>.</w:t>
      </w:r>
      <w:r>
        <w:t xml:space="preserve"> It is important to note how integral the health assumptions adopted in these calculations are, and the magnitude of change that different assumptions can make. Therefore, where possible a range of estimates are reported in this paper to reflect the uncertainty of these calculations.</w:t>
      </w:r>
    </w:p>
    <w:p w14:paraId="0736BA85" w14:textId="77777777" w:rsidR="00D23648" w:rsidRDefault="00D23648" w:rsidP="00D23648">
      <w:pPr>
        <w:pStyle w:val="Heading3"/>
      </w:pPr>
      <w:r>
        <w:t>Electricity</w:t>
      </w:r>
      <w:r w:rsidR="00730EA0">
        <w:t xml:space="preserve"> sector</w:t>
      </w:r>
    </w:p>
    <w:p w14:paraId="599E221C" w14:textId="542A23FC" w:rsidR="003F1607" w:rsidRDefault="00FA0A5D" w:rsidP="00D23648">
      <w:pPr>
        <w:pStyle w:val="BodyText"/>
        <w:rPr>
          <w:lang w:eastAsia="en-AU"/>
        </w:rPr>
      </w:pPr>
      <w:r>
        <w:rPr>
          <w:lang w:eastAsia="en-AU"/>
        </w:rPr>
        <w:t xml:space="preserve">Based on a review of </w:t>
      </w:r>
      <w:r w:rsidR="004D2D73">
        <w:rPr>
          <w:lang w:eastAsia="en-AU"/>
        </w:rPr>
        <w:t xml:space="preserve">the </w:t>
      </w:r>
      <w:r>
        <w:rPr>
          <w:lang w:eastAsia="en-AU"/>
        </w:rPr>
        <w:t>existing literature</w:t>
      </w:r>
      <w:r w:rsidR="00AF165A">
        <w:rPr>
          <w:lang w:eastAsia="en-AU"/>
        </w:rPr>
        <w:t xml:space="preserve">, damage cost values </w:t>
      </w:r>
      <w:r w:rsidR="00EB7B06">
        <w:rPr>
          <w:lang w:eastAsia="en-AU"/>
        </w:rPr>
        <w:t xml:space="preserve">for the electricity sector </w:t>
      </w:r>
      <w:r w:rsidR="00AF165A">
        <w:rPr>
          <w:lang w:eastAsia="en-AU"/>
        </w:rPr>
        <w:t xml:space="preserve">have been </w:t>
      </w:r>
      <w:r w:rsidR="00EB7B06">
        <w:rPr>
          <w:lang w:eastAsia="en-AU"/>
        </w:rPr>
        <w:t xml:space="preserve">adapted from other jurisdictions </w:t>
      </w:r>
      <w:r w:rsidR="00730EA0">
        <w:rPr>
          <w:lang w:eastAsia="en-AU"/>
        </w:rPr>
        <w:t>for the Australian context</w:t>
      </w:r>
      <w:r w:rsidR="00B21E14">
        <w:rPr>
          <w:lang w:eastAsia="en-AU"/>
        </w:rPr>
        <w:t xml:space="preserve">. </w:t>
      </w:r>
      <w:r w:rsidR="00173395">
        <w:rPr>
          <w:lang w:eastAsia="en-AU"/>
        </w:rPr>
        <w:t xml:space="preserve">The various damage costs </w:t>
      </w:r>
      <w:r w:rsidR="00B21E14">
        <w:rPr>
          <w:lang w:eastAsia="en-AU"/>
        </w:rPr>
        <w:t xml:space="preserve">sourced </w:t>
      </w:r>
      <w:r w:rsidR="00173395">
        <w:rPr>
          <w:lang w:eastAsia="en-AU"/>
        </w:rPr>
        <w:t>for each pollutant are presented in Appendix A</w:t>
      </w:r>
      <w:r w:rsidR="00D16634">
        <w:rPr>
          <w:lang w:eastAsia="en-AU"/>
        </w:rPr>
        <w:t xml:space="preserve"> (Table A-1)</w:t>
      </w:r>
      <w:r w:rsidR="00173395">
        <w:rPr>
          <w:lang w:eastAsia="en-AU"/>
        </w:rPr>
        <w:t>.</w:t>
      </w:r>
      <w:r w:rsidR="00730EA0">
        <w:rPr>
          <w:lang w:eastAsia="en-AU"/>
        </w:rPr>
        <w:t xml:space="preserve"> </w:t>
      </w:r>
    </w:p>
    <w:p w14:paraId="228F62F1" w14:textId="7EC4D299" w:rsidR="00D23648" w:rsidRDefault="00AE71CE" w:rsidP="00D23648">
      <w:pPr>
        <w:pStyle w:val="BodyText"/>
        <w:rPr>
          <w:lang w:eastAsia="en-AU"/>
        </w:rPr>
      </w:pPr>
      <w:r>
        <w:rPr>
          <w:lang w:eastAsia="en-AU"/>
        </w:rPr>
        <w:t>Combin</w:t>
      </w:r>
      <w:r w:rsidR="00963C22">
        <w:rPr>
          <w:lang w:eastAsia="en-AU"/>
        </w:rPr>
        <w:t>ing the various damage costs</w:t>
      </w:r>
      <w:r>
        <w:rPr>
          <w:lang w:eastAsia="en-AU"/>
        </w:rPr>
        <w:t xml:space="preserve"> with</w:t>
      </w:r>
      <w:r w:rsidR="00730EA0">
        <w:rPr>
          <w:lang w:eastAsia="en-AU"/>
        </w:rPr>
        <w:t xml:space="preserve"> </w:t>
      </w:r>
      <w:r w:rsidR="008B28E1">
        <w:rPr>
          <w:lang w:eastAsia="en-AU"/>
        </w:rPr>
        <w:t xml:space="preserve">air pollutant </w:t>
      </w:r>
      <w:r w:rsidR="00730EA0">
        <w:rPr>
          <w:lang w:eastAsia="en-AU"/>
        </w:rPr>
        <w:t xml:space="preserve">emissions and </w:t>
      </w:r>
      <w:r w:rsidR="008B28E1">
        <w:rPr>
          <w:lang w:eastAsia="en-AU"/>
        </w:rPr>
        <w:t xml:space="preserve">electricity </w:t>
      </w:r>
      <w:r w:rsidR="00730EA0">
        <w:rPr>
          <w:lang w:eastAsia="en-AU"/>
        </w:rPr>
        <w:t>generation data from the National Pollutant Inventory</w:t>
      </w:r>
      <w:r w:rsidR="008B28E1">
        <w:rPr>
          <w:lang w:eastAsia="en-AU"/>
        </w:rPr>
        <w:t xml:space="preserve"> (NPI)</w:t>
      </w:r>
      <w:r w:rsidR="00730EA0">
        <w:rPr>
          <w:lang w:eastAsia="en-AU"/>
        </w:rPr>
        <w:t xml:space="preserve"> and the Clean Energy Regulator</w:t>
      </w:r>
      <w:r w:rsidR="008B28E1">
        <w:rPr>
          <w:lang w:eastAsia="en-AU"/>
        </w:rPr>
        <w:t xml:space="preserve"> (CER)</w:t>
      </w:r>
      <w:r w:rsidR="00730EA0">
        <w:rPr>
          <w:lang w:eastAsia="en-AU"/>
        </w:rPr>
        <w:t>,</w:t>
      </w:r>
      <w:r w:rsidR="008E6050">
        <w:rPr>
          <w:lang w:eastAsia="en-AU"/>
        </w:rPr>
        <w:t xml:space="preserve"> </w:t>
      </w:r>
      <w:r w:rsidR="00601C42">
        <w:rPr>
          <w:lang w:eastAsia="en-AU"/>
        </w:rPr>
        <w:t xml:space="preserve">gives estimated </w:t>
      </w:r>
      <w:r w:rsidR="00730EA0">
        <w:rPr>
          <w:lang w:eastAsia="en-AU"/>
        </w:rPr>
        <w:t>health costs of air pollution coming from the electricity sector in Victoria</w:t>
      </w:r>
      <w:r w:rsidR="007B3FB5">
        <w:rPr>
          <w:lang w:eastAsia="en-AU"/>
        </w:rPr>
        <w:t xml:space="preserve"> i</w:t>
      </w:r>
      <w:r w:rsidR="00D23648">
        <w:rPr>
          <w:lang w:eastAsia="en-AU"/>
        </w:rPr>
        <w:t>n the order of $600 million</w:t>
      </w:r>
      <w:r w:rsidR="007B3FB5">
        <w:rPr>
          <w:lang w:eastAsia="en-AU"/>
        </w:rPr>
        <w:t xml:space="preserve"> (AUD$2018)</w:t>
      </w:r>
      <w:r w:rsidR="00D10CA1">
        <w:rPr>
          <w:lang w:eastAsia="en-AU"/>
        </w:rPr>
        <w:t xml:space="preserve"> for the year 2018</w:t>
      </w:r>
      <w:r w:rsidR="007B3FB5">
        <w:rPr>
          <w:lang w:eastAsia="en-AU"/>
        </w:rPr>
        <w:t>.</w:t>
      </w:r>
    </w:p>
    <w:p w14:paraId="0F4BD173" w14:textId="23DA6775" w:rsidR="00285FA3" w:rsidRDefault="008E6050" w:rsidP="006A541F">
      <w:pPr>
        <w:pStyle w:val="BodyText"/>
        <w:rPr>
          <w:lang w:eastAsia="en-AU"/>
        </w:rPr>
      </w:pPr>
      <w:r>
        <w:rPr>
          <w:lang w:eastAsia="en-AU"/>
        </w:rPr>
        <w:t xml:space="preserve">The </w:t>
      </w:r>
      <w:r w:rsidR="00E674BD">
        <w:rPr>
          <w:lang w:eastAsia="en-AU"/>
        </w:rPr>
        <w:t>range of estimates using</w:t>
      </w:r>
      <w:r w:rsidR="006A541F">
        <w:rPr>
          <w:lang w:eastAsia="en-AU"/>
        </w:rPr>
        <w:t xml:space="preserve"> differing damage costs are presented in Table 1.</w:t>
      </w:r>
      <w:r w:rsidR="00C66C69">
        <w:rPr>
          <w:lang w:eastAsia="en-AU"/>
        </w:rPr>
        <w:t xml:space="preserve"> See Appendix A for a breakdown of these total cost calculations.</w:t>
      </w:r>
    </w:p>
    <w:p w14:paraId="58B1E6B6" w14:textId="3444742D" w:rsidR="006A541F" w:rsidRDefault="006A541F" w:rsidP="006A541F">
      <w:pPr>
        <w:pStyle w:val="Caption"/>
      </w:pPr>
      <w:r>
        <w:lastRenderedPageBreak/>
        <w:t xml:space="preserve">Table </w:t>
      </w:r>
      <w:r w:rsidR="00FB312A">
        <w:rPr>
          <w:noProof/>
        </w:rPr>
        <w:fldChar w:fldCharType="begin"/>
      </w:r>
      <w:r w:rsidR="00FB312A">
        <w:rPr>
          <w:noProof/>
        </w:rPr>
        <w:instrText xml:space="preserve"> SEQ Table \* ARABIC </w:instrText>
      </w:r>
      <w:r w:rsidR="00FB312A">
        <w:rPr>
          <w:noProof/>
        </w:rPr>
        <w:fldChar w:fldCharType="separate"/>
      </w:r>
      <w:r w:rsidR="00A82EA3">
        <w:rPr>
          <w:noProof/>
        </w:rPr>
        <w:t>1</w:t>
      </w:r>
      <w:r w:rsidR="00FB312A">
        <w:rPr>
          <w:noProof/>
        </w:rPr>
        <w:fldChar w:fldCharType="end"/>
      </w:r>
      <w:r>
        <w:t xml:space="preserve"> </w:t>
      </w:r>
      <w:r w:rsidRPr="003320FF">
        <w:t>Total health costs of electricity sector in Victoria</w:t>
      </w:r>
    </w:p>
    <w:tbl>
      <w:tblPr>
        <w:tblStyle w:val="TableGrid"/>
        <w:tblW w:w="9864" w:type="dxa"/>
        <w:jc w:val="center"/>
        <w:tblLook w:val="04A0" w:firstRow="1" w:lastRow="0" w:firstColumn="1" w:lastColumn="0" w:noHBand="0" w:noVBand="1"/>
      </w:tblPr>
      <w:tblGrid>
        <w:gridCol w:w="1393"/>
        <w:gridCol w:w="866"/>
        <w:gridCol w:w="1960"/>
        <w:gridCol w:w="1217"/>
        <w:gridCol w:w="1357"/>
        <w:gridCol w:w="1442"/>
        <w:gridCol w:w="1618"/>
        <w:gridCol w:w="11"/>
      </w:tblGrid>
      <w:tr w:rsidR="00D4275F" w14:paraId="03E22CA7" w14:textId="77777777" w:rsidTr="00D4275F">
        <w:trPr>
          <w:gridAfter w:val="1"/>
          <w:cnfStyle w:val="100000000000" w:firstRow="1" w:lastRow="0" w:firstColumn="0" w:lastColumn="0" w:oddVBand="0" w:evenVBand="0" w:oddHBand="0" w:evenHBand="0" w:firstRowFirstColumn="0" w:firstRowLastColumn="0" w:lastRowFirstColumn="0" w:lastRowLastColumn="0"/>
          <w:wAfter w:w="11" w:type="dxa"/>
          <w:jc w:val="center"/>
        </w:trPr>
        <w:tc>
          <w:tcPr>
            <w:cnfStyle w:val="000000000100" w:firstRow="0" w:lastRow="0" w:firstColumn="0" w:lastColumn="0" w:oddVBand="0" w:evenVBand="0" w:oddHBand="0" w:evenHBand="0" w:firstRowFirstColumn="1" w:firstRowLastColumn="0" w:lastRowFirstColumn="0" w:lastRowLastColumn="0"/>
            <w:tcW w:w="1393" w:type="dxa"/>
          </w:tcPr>
          <w:p w14:paraId="3BECB959" w14:textId="77777777" w:rsidR="00633ADC" w:rsidRDefault="00633ADC" w:rsidP="005B0B21">
            <w:pPr>
              <w:pStyle w:val="BodyText"/>
              <w:keepNext/>
              <w:rPr>
                <w:lang w:eastAsia="en-AU"/>
              </w:rPr>
            </w:pPr>
            <w:r>
              <w:rPr>
                <w:lang w:eastAsia="en-AU"/>
              </w:rPr>
              <w:t>Source</w:t>
            </w:r>
          </w:p>
        </w:tc>
        <w:tc>
          <w:tcPr>
            <w:tcW w:w="866" w:type="dxa"/>
          </w:tcPr>
          <w:p w14:paraId="038F4E06" w14:textId="77777777" w:rsidR="00633ADC" w:rsidRDefault="00633ADC" w:rsidP="00633ADC">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Year of report</w:t>
            </w:r>
          </w:p>
        </w:tc>
        <w:tc>
          <w:tcPr>
            <w:tcW w:w="1960" w:type="dxa"/>
          </w:tcPr>
          <w:p w14:paraId="2BB0E29F" w14:textId="35E8FF44" w:rsidR="00633ADC" w:rsidRDefault="00633ADC" w:rsidP="005B0B21">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Year of data</w:t>
            </w:r>
          </w:p>
        </w:tc>
        <w:tc>
          <w:tcPr>
            <w:tcW w:w="1217" w:type="dxa"/>
          </w:tcPr>
          <w:p w14:paraId="4A889D11" w14:textId="4938223E" w:rsidR="00633ADC" w:rsidRDefault="00633ADC" w:rsidP="005B0B21">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Origin of damage cost</w:t>
            </w:r>
          </w:p>
        </w:tc>
        <w:tc>
          <w:tcPr>
            <w:tcW w:w="1357" w:type="dxa"/>
          </w:tcPr>
          <w:p w14:paraId="3BF2A835" w14:textId="747513E1" w:rsidR="00633ADC" w:rsidRDefault="00633ADC" w:rsidP="005B0B21">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Unit (tonnes/MWh)</w:t>
            </w:r>
          </w:p>
        </w:tc>
        <w:tc>
          <w:tcPr>
            <w:tcW w:w="1442" w:type="dxa"/>
          </w:tcPr>
          <w:p w14:paraId="672BC6CD" w14:textId="5F019595" w:rsidR="00633ADC" w:rsidRPr="00470890" w:rsidRDefault="00633ADC" w:rsidP="005B0B21">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Pollutants</w:t>
            </w:r>
            <w:r>
              <w:rPr>
                <w:lang w:eastAsia="en-AU"/>
              </w:rPr>
              <w:br/>
              <w:t>covered</w:t>
            </w:r>
            <w:r w:rsidRPr="00633ADC">
              <w:rPr>
                <w:vertAlign w:val="superscript"/>
                <w:lang w:eastAsia="en-AU"/>
              </w:rPr>
              <w:t xml:space="preserve"> #</w:t>
            </w:r>
          </w:p>
        </w:tc>
        <w:tc>
          <w:tcPr>
            <w:tcW w:w="1618" w:type="dxa"/>
          </w:tcPr>
          <w:p w14:paraId="1576A69A" w14:textId="19F569F2" w:rsidR="00633ADC" w:rsidRPr="00470890" w:rsidRDefault="00633ADC" w:rsidP="005B0B21">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Total health cost (AUD$2018) *</w:t>
            </w:r>
          </w:p>
        </w:tc>
      </w:tr>
      <w:tr w:rsidR="00D4275F" w14:paraId="55D50B99" w14:textId="77777777" w:rsidTr="00D4275F">
        <w:trPr>
          <w:gridAfter w:val="1"/>
          <w:wAfter w:w="11" w:type="dxa"/>
          <w:jc w:val="center"/>
        </w:trPr>
        <w:tc>
          <w:tcPr>
            <w:tcW w:w="1393" w:type="dxa"/>
          </w:tcPr>
          <w:p w14:paraId="16D7B9D1" w14:textId="77777777" w:rsidR="00633ADC" w:rsidRDefault="00633ADC" w:rsidP="005B0B21">
            <w:pPr>
              <w:pStyle w:val="BodyText"/>
              <w:keepNext/>
              <w:spacing w:after="0"/>
              <w:rPr>
                <w:lang w:eastAsia="en-AU"/>
              </w:rPr>
            </w:pPr>
            <w:r>
              <w:rPr>
                <w:lang w:eastAsia="en-AU"/>
              </w:rPr>
              <w:t>Parry et al.</w:t>
            </w:r>
            <w:r>
              <w:rPr>
                <w:rStyle w:val="FootnoteReference"/>
                <w:lang w:eastAsia="en-AU"/>
              </w:rPr>
              <w:footnoteReference w:id="16"/>
            </w:r>
          </w:p>
        </w:tc>
        <w:tc>
          <w:tcPr>
            <w:tcW w:w="866" w:type="dxa"/>
          </w:tcPr>
          <w:p w14:paraId="40C12591" w14:textId="77777777" w:rsidR="00633ADC" w:rsidRDefault="00633ADC" w:rsidP="005B0B21">
            <w:pPr>
              <w:pStyle w:val="BodyText"/>
              <w:keepNext/>
              <w:spacing w:after="0"/>
              <w:rPr>
                <w:lang w:eastAsia="en-AU"/>
              </w:rPr>
            </w:pPr>
            <w:r>
              <w:rPr>
                <w:lang w:eastAsia="en-AU"/>
              </w:rPr>
              <w:t>2014</w:t>
            </w:r>
          </w:p>
        </w:tc>
        <w:tc>
          <w:tcPr>
            <w:tcW w:w="1960" w:type="dxa"/>
          </w:tcPr>
          <w:p w14:paraId="4CCB0C68" w14:textId="77777777" w:rsidR="00633ADC" w:rsidRDefault="00633ADC" w:rsidP="005B0B21">
            <w:pPr>
              <w:pStyle w:val="BodyText"/>
              <w:keepNext/>
              <w:spacing w:after="0"/>
              <w:rPr>
                <w:lang w:eastAsia="en-AU"/>
              </w:rPr>
            </w:pPr>
            <w:r>
              <w:rPr>
                <w:lang w:eastAsia="en-AU"/>
              </w:rPr>
              <w:t>NPI 2016/17</w:t>
            </w:r>
          </w:p>
          <w:p w14:paraId="24A7DEBB" w14:textId="77777777" w:rsidR="00633ADC" w:rsidRDefault="00633ADC" w:rsidP="005B0B21">
            <w:pPr>
              <w:pStyle w:val="BodyText"/>
              <w:keepNext/>
              <w:spacing w:after="0"/>
              <w:rPr>
                <w:lang w:eastAsia="en-AU"/>
              </w:rPr>
            </w:pPr>
            <w:r>
              <w:rPr>
                <w:lang w:eastAsia="en-AU"/>
              </w:rPr>
              <w:t>Includes Hazelwood</w:t>
            </w:r>
          </w:p>
        </w:tc>
        <w:tc>
          <w:tcPr>
            <w:tcW w:w="1217" w:type="dxa"/>
          </w:tcPr>
          <w:p w14:paraId="3E65AD92" w14:textId="5A04A522" w:rsidR="00633ADC" w:rsidRDefault="00D4275F" w:rsidP="00633ADC">
            <w:pPr>
              <w:pStyle w:val="BodyText"/>
              <w:keepNext/>
              <w:spacing w:after="0"/>
              <w:jc w:val="center"/>
              <w:rPr>
                <w:lang w:eastAsia="en-AU"/>
              </w:rPr>
            </w:pPr>
            <w:r>
              <w:rPr>
                <w:lang w:eastAsia="en-AU"/>
              </w:rPr>
              <w:t>International</w:t>
            </w:r>
            <w:r w:rsidR="002E70A0">
              <w:rPr>
                <w:lang w:eastAsia="en-AU"/>
              </w:rPr>
              <w:t xml:space="preserve"> </w:t>
            </w:r>
          </w:p>
        </w:tc>
        <w:tc>
          <w:tcPr>
            <w:tcW w:w="1357" w:type="dxa"/>
          </w:tcPr>
          <w:p w14:paraId="57186374" w14:textId="75FE789A" w:rsidR="00633ADC" w:rsidRDefault="00633ADC" w:rsidP="005B0B21">
            <w:pPr>
              <w:pStyle w:val="BodyText"/>
              <w:keepNext/>
              <w:spacing w:after="0"/>
              <w:rPr>
                <w:lang w:eastAsia="en-AU"/>
              </w:rPr>
            </w:pPr>
            <w:r>
              <w:rPr>
                <w:lang w:eastAsia="en-AU"/>
              </w:rPr>
              <w:t>$/tonnes</w:t>
            </w:r>
          </w:p>
        </w:tc>
        <w:tc>
          <w:tcPr>
            <w:tcW w:w="1442" w:type="dxa"/>
          </w:tcPr>
          <w:p w14:paraId="5DAC49D5" w14:textId="77777777" w:rsidR="00633ADC" w:rsidRDefault="00633ADC" w:rsidP="005B0B21">
            <w:pPr>
              <w:pStyle w:val="BodyText"/>
              <w:keepNext/>
              <w:spacing w:after="0"/>
              <w:rPr>
                <w:lang w:eastAsia="en-AU"/>
              </w:rPr>
            </w:pPr>
            <w:r>
              <w:rPr>
                <w:lang w:eastAsia="en-AU"/>
              </w:rPr>
              <w:t>SO</w:t>
            </w:r>
            <w:r w:rsidRPr="001D0F4D">
              <w:rPr>
                <w:vertAlign w:val="subscript"/>
                <w:lang w:eastAsia="en-AU"/>
              </w:rPr>
              <w:t>2</w:t>
            </w:r>
            <w:r>
              <w:rPr>
                <w:lang w:eastAsia="en-AU"/>
              </w:rPr>
              <w:t>, NO</w:t>
            </w:r>
            <w:r w:rsidRPr="001D0F4D">
              <w:rPr>
                <w:vertAlign w:val="subscript"/>
                <w:lang w:eastAsia="en-AU"/>
              </w:rPr>
              <w:t>X</w:t>
            </w:r>
            <w:r>
              <w:rPr>
                <w:lang w:eastAsia="en-AU"/>
              </w:rPr>
              <w:t>, PM</w:t>
            </w:r>
            <w:r w:rsidRPr="001D0F4D">
              <w:rPr>
                <w:vertAlign w:val="subscript"/>
                <w:lang w:eastAsia="en-AU"/>
              </w:rPr>
              <w:t>2.5</w:t>
            </w:r>
          </w:p>
        </w:tc>
        <w:tc>
          <w:tcPr>
            <w:tcW w:w="1618" w:type="dxa"/>
          </w:tcPr>
          <w:p w14:paraId="35995169" w14:textId="77777777" w:rsidR="00633ADC" w:rsidRDefault="00633ADC" w:rsidP="005B0B21">
            <w:pPr>
              <w:pStyle w:val="BodyText"/>
              <w:keepNext/>
              <w:spacing w:after="0"/>
              <w:rPr>
                <w:lang w:eastAsia="en-AU"/>
              </w:rPr>
            </w:pPr>
            <w:r>
              <w:rPr>
                <w:lang w:eastAsia="en-AU"/>
              </w:rPr>
              <w:t>$422 million</w:t>
            </w:r>
          </w:p>
        </w:tc>
      </w:tr>
      <w:tr w:rsidR="00D4275F" w14:paraId="26774466" w14:textId="77777777" w:rsidTr="00D4275F">
        <w:trPr>
          <w:gridAfter w:val="1"/>
          <w:wAfter w:w="11" w:type="dxa"/>
          <w:jc w:val="center"/>
        </w:trPr>
        <w:tc>
          <w:tcPr>
            <w:tcW w:w="1393" w:type="dxa"/>
          </w:tcPr>
          <w:p w14:paraId="692AE058" w14:textId="704B89EA" w:rsidR="00633ADC" w:rsidRDefault="00633ADC" w:rsidP="005B0B21">
            <w:pPr>
              <w:pStyle w:val="BodyText"/>
              <w:keepNext/>
              <w:spacing w:after="0"/>
              <w:rPr>
                <w:lang w:eastAsia="en-AU"/>
              </w:rPr>
            </w:pPr>
            <w:r>
              <w:rPr>
                <w:lang w:eastAsia="en-AU"/>
              </w:rPr>
              <w:t xml:space="preserve">Parry et al. and PAE Holmes </w:t>
            </w:r>
            <w:r>
              <w:rPr>
                <w:lang w:eastAsia="en-AU"/>
              </w:rPr>
              <w:br/>
              <w:t>(NSW EPA)</w:t>
            </w:r>
            <w:r>
              <w:rPr>
                <w:rStyle w:val="FootnoteReference"/>
                <w:lang w:eastAsia="en-AU"/>
              </w:rPr>
              <w:footnoteReference w:id="17"/>
            </w:r>
          </w:p>
        </w:tc>
        <w:tc>
          <w:tcPr>
            <w:tcW w:w="866" w:type="dxa"/>
          </w:tcPr>
          <w:p w14:paraId="2EA731D7" w14:textId="77777777" w:rsidR="00633ADC" w:rsidRDefault="00633ADC" w:rsidP="005B0B21">
            <w:pPr>
              <w:pStyle w:val="BodyText"/>
              <w:keepNext/>
              <w:spacing w:after="0"/>
              <w:rPr>
                <w:lang w:eastAsia="en-AU"/>
              </w:rPr>
            </w:pPr>
            <w:r>
              <w:rPr>
                <w:lang w:eastAsia="en-AU"/>
              </w:rPr>
              <w:t>2013</w:t>
            </w:r>
          </w:p>
        </w:tc>
        <w:tc>
          <w:tcPr>
            <w:tcW w:w="1960" w:type="dxa"/>
          </w:tcPr>
          <w:p w14:paraId="5F2FE1DD" w14:textId="77777777" w:rsidR="00633ADC" w:rsidRDefault="00633ADC" w:rsidP="005B0B21">
            <w:pPr>
              <w:pStyle w:val="BodyText"/>
              <w:keepNext/>
              <w:spacing w:after="0"/>
              <w:rPr>
                <w:lang w:eastAsia="en-AU"/>
              </w:rPr>
            </w:pPr>
            <w:r>
              <w:rPr>
                <w:lang w:eastAsia="en-AU"/>
              </w:rPr>
              <w:t>NPI 2016/17</w:t>
            </w:r>
          </w:p>
          <w:p w14:paraId="4AF8D68B" w14:textId="77777777" w:rsidR="00633ADC" w:rsidRDefault="00633ADC" w:rsidP="005B0B21">
            <w:pPr>
              <w:pStyle w:val="BodyText"/>
              <w:keepNext/>
              <w:spacing w:after="0"/>
              <w:rPr>
                <w:lang w:eastAsia="en-AU"/>
              </w:rPr>
            </w:pPr>
            <w:r>
              <w:rPr>
                <w:lang w:eastAsia="en-AU"/>
              </w:rPr>
              <w:t>Includes Hazelwood</w:t>
            </w:r>
          </w:p>
        </w:tc>
        <w:tc>
          <w:tcPr>
            <w:tcW w:w="1217" w:type="dxa"/>
          </w:tcPr>
          <w:p w14:paraId="5493E655" w14:textId="1239A4A9" w:rsidR="00D4275F" w:rsidRDefault="00D4275F" w:rsidP="00633ADC">
            <w:pPr>
              <w:pStyle w:val="BodyText"/>
              <w:keepNext/>
              <w:spacing w:after="0"/>
              <w:jc w:val="center"/>
              <w:rPr>
                <w:lang w:eastAsia="en-AU"/>
              </w:rPr>
            </w:pPr>
            <w:r>
              <w:rPr>
                <w:lang w:eastAsia="en-AU"/>
              </w:rPr>
              <w:t>International</w:t>
            </w:r>
          </w:p>
          <w:p w14:paraId="415A6060" w14:textId="0B0832DC" w:rsidR="00633ADC" w:rsidRDefault="009C7E4E" w:rsidP="00633ADC">
            <w:pPr>
              <w:pStyle w:val="BodyText"/>
              <w:keepNext/>
              <w:spacing w:after="0"/>
              <w:jc w:val="center"/>
              <w:rPr>
                <w:lang w:eastAsia="en-AU"/>
              </w:rPr>
            </w:pPr>
            <w:r>
              <w:rPr>
                <w:lang w:eastAsia="en-AU"/>
              </w:rPr>
              <w:t>UK</w:t>
            </w:r>
          </w:p>
        </w:tc>
        <w:tc>
          <w:tcPr>
            <w:tcW w:w="1357" w:type="dxa"/>
          </w:tcPr>
          <w:p w14:paraId="474B649E" w14:textId="5DC09D2B" w:rsidR="00633ADC" w:rsidRDefault="00633ADC" w:rsidP="005B0B21">
            <w:pPr>
              <w:pStyle w:val="BodyText"/>
              <w:keepNext/>
              <w:spacing w:after="0"/>
              <w:rPr>
                <w:lang w:eastAsia="en-AU"/>
              </w:rPr>
            </w:pPr>
            <w:r>
              <w:rPr>
                <w:lang w:eastAsia="en-AU"/>
              </w:rPr>
              <w:t>$/tonnes</w:t>
            </w:r>
          </w:p>
        </w:tc>
        <w:tc>
          <w:tcPr>
            <w:tcW w:w="1442" w:type="dxa"/>
          </w:tcPr>
          <w:p w14:paraId="325FDE3C" w14:textId="77777777" w:rsidR="00633ADC" w:rsidRDefault="00633ADC" w:rsidP="005B0B21">
            <w:pPr>
              <w:pStyle w:val="BodyText"/>
              <w:keepNext/>
              <w:spacing w:after="0"/>
              <w:rPr>
                <w:lang w:eastAsia="en-AU"/>
              </w:rPr>
            </w:pPr>
            <w:r>
              <w:rPr>
                <w:lang w:eastAsia="en-AU"/>
              </w:rPr>
              <w:t>SO</w:t>
            </w:r>
            <w:r w:rsidRPr="001D0F4D">
              <w:rPr>
                <w:vertAlign w:val="subscript"/>
                <w:lang w:eastAsia="en-AU"/>
              </w:rPr>
              <w:t>2</w:t>
            </w:r>
            <w:r>
              <w:rPr>
                <w:lang w:eastAsia="en-AU"/>
              </w:rPr>
              <w:t>, NO</w:t>
            </w:r>
            <w:r w:rsidRPr="001D0F4D">
              <w:rPr>
                <w:vertAlign w:val="subscript"/>
                <w:lang w:eastAsia="en-AU"/>
              </w:rPr>
              <w:t>X</w:t>
            </w:r>
            <w:r>
              <w:rPr>
                <w:lang w:eastAsia="en-AU"/>
              </w:rPr>
              <w:t>, PM</w:t>
            </w:r>
            <w:r w:rsidRPr="001D0F4D">
              <w:rPr>
                <w:vertAlign w:val="subscript"/>
                <w:lang w:eastAsia="en-AU"/>
              </w:rPr>
              <w:t>2.5</w:t>
            </w:r>
          </w:p>
        </w:tc>
        <w:tc>
          <w:tcPr>
            <w:tcW w:w="1618" w:type="dxa"/>
          </w:tcPr>
          <w:p w14:paraId="22DD7FA9" w14:textId="093C3657" w:rsidR="00633ADC" w:rsidRDefault="00633ADC" w:rsidP="005B0B21">
            <w:pPr>
              <w:pStyle w:val="BodyText"/>
              <w:keepNext/>
              <w:spacing w:after="0"/>
              <w:rPr>
                <w:lang w:eastAsia="en-AU"/>
              </w:rPr>
            </w:pPr>
            <w:r>
              <w:rPr>
                <w:lang w:eastAsia="en-AU"/>
              </w:rPr>
              <w:t>$421 million</w:t>
            </w:r>
          </w:p>
        </w:tc>
      </w:tr>
      <w:tr w:rsidR="00D4275F" w14:paraId="27EFEEDC" w14:textId="77777777" w:rsidTr="00D4275F">
        <w:trPr>
          <w:gridAfter w:val="1"/>
          <w:wAfter w:w="11" w:type="dxa"/>
          <w:jc w:val="center"/>
        </w:trPr>
        <w:tc>
          <w:tcPr>
            <w:tcW w:w="1393" w:type="dxa"/>
          </w:tcPr>
          <w:p w14:paraId="4887B3E7" w14:textId="77777777" w:rsidR="00633ADC" w:rsidRDefault="00633ADC" w:rsidP="005B0B21">
            <w:pPr>
              <w:pStyle w:val="BodyText"/>
              <w:keepNext/>
              <w:spacing w:after="0"/>
              <w:rPr>
                <w:lang w:eastAsia="en-AU"/>
              </w:rPr>
            </w:pPr>
            <w:r>
              <w:rPr>
                <w:lang w:eastAsia="en-AU"/>
              </w:rPr>
              <w:t>ATSE</w:t>
            </w:r>
            <w:r>
              <w:rPr>
                <w:rStyle w:val="FootnoteReference"/>
                <w:lang w:eastAsia="en-AU"/>
              </w:rPr>
              <w:footnoteReference w:id="18"/>
            </w:r>
          </w:p>
        </w:tc>
        <w:tc>
          <w:tcPr>
            <w:tcW w:w="866" w:type="dxa"/>
          </w:tcPr>
          <w:p w14:paraId="358B2CBC" w14:textId="77777777" w:rsidR="00633ADC" w:rsidRDefault="00633ADC" w:rsidP="005B0B21">
            <w:pPr>
              <w:pStyle w:val="BodyText"/>
              <w:keepNext/>
              <w:spacing w:after="0"/>
              <w:rPr>
                <w:lang w:eastAsia="en-AU"/>
              </w:rPr>
            </w:pPr>
            <w:r>
              <w:rPr>
                <w:lang w:eastAsia="en-AU"/>
              </w:rPr>
              <w:t>2009</w:t>
            </w:r>
          </w:p>
        </w:tc>
        <w:tc>
          <w:tcPr>
            <w:tcW w:w="1960" w:type="dxa"/>
          </w:tcPr>
          <w:p w14:paraId="37400762" w14:textId="344E27AD" w:rsidR="00633ADC" w:rsidRDefault="00633ADC" w:rsidP="005B0B21">
            <w:pPr>
              <w:pStyle w:val="BodyText"/>
              <w:keepNext/>
              <w:spacing w:after="0"/>
              <w:rPr>
                <w:lang w:eastAsia="en-AU"/>
              </w:rPr>
            </w:pPr>
            <w:r>
              <w:rPr>
                <w:lang w:eastAsia="en-AU"/>
              </w:rPr>
              <w:t>National Electricity Market (NEM) Review 2017/18</w:t>
            </w:r>
          </w:p>
          <w:p w14:paraId="2E680156" w14:textId="77777777" w:rsidR="00633ADC" w:rsidRDefault="00633ADC" w:rsidP="005B0B21">
            <w:pPr>
              <w:pStyle w:val="BodyText"/>
              <w:keepNext/>
              <w:spacing w:after="0"/>
              <w:rPr>
                <w:lang w:eastAsia="en-AU"/>
              </w:rPr>
            </w:pPr>
            <w:r>
              <w:rPr>
                <w:lang w:eastAsia="en-AU"/>
              </w:rPr>
              <w:t>Excludes Hazelwood</w:t>
            </w:r>
          </w:p>
        </w:tc>
        <w:tc>
          <w:tcPr>
            <w:tcW w:w="1217" w:type="dxa"/>
          </w:tcPr>
          <w:p w14:paraId="25E1C024" w14:textId="782D500C" w:rsidR="00633ADC" w:rsidRDefault="009C7E4E" w:rsidP="00633ADC">
            <w:pPr>
              <w:pStyle w:val="BodyText"/>
              <w:keepNext/>
              <w:spacing w:after="0"/>
              <w:jc w:val="center"/>
              <w:rPr>
                <w:lang w:eastAsia="en-AU"/>
              </w:rPr>
            </w:pPr>
            <w:r>
              <w:rPr>
                <w:lang w:eastAsia="en-AU"/>
              </w:rPr>
              <w:t>Europe</w:t>
            </w:r>
          </w:p>
        </w:tc>
        <w:tc>
          <w:tcPr>
            <w:tcW w:w="1357" w:type="dxa"/>
          </w:tcPr>
          <w:p w14:paraId="670805B3" w14:textId="43300FFA" w:rsidR="00633ADC" w:rsidRDefault="00633ADC" w:rsidP="005B0B21">
            <w:pPr>
              <w:pStyle w:val="BodyText"/>
              <w:keepNext/>
              <w:spacing w:after="0"/>
              <w:rPr>
                <w:lang w:eastAsia="en-AU"/>
              </w:rPr>
            </w:pPr>
            <w:r>
              <w:rPr>
                <w:lang w:eastAsia="en-AU"/>
              </w:rPr>
              <w:t>$/MWh</w:t>
            </w:r>
          </w:p>
        </w:tc>
        <w:tc>
          <w:tcPr>
            <w:tcW w:w="1442" w:type="dxa"/>
          </w:tcPr>
          <w:p w14:paraId="39CF8C7A" w14:textId="77777777" w:rsidR="00633ADC" w:rsidRDefault="00633ADC" w:rsidP="005B0B21">
            <w:pPr>
              <w:pStyle w:val="BodyText"/>
              <w:keepNext/>
              <w:spacing w:after="0"/>
              <w:rPr>
                <w:lang w:eastAsia="en-AU"/>
              </w:rPr>
            </w:pPr>
            <w:r>
              <w:rPr>
                <w:lang w:eastAsia="en-AU"/>
              </w:rPr>
              <w:t>SO</w:t>
            </w:r>
            <w:r w:rsidRPr="001D0F4D">
              <w:rPr>
                <w:vertAlign w:val="subscript"/>
                <w:lang w:eastAsia="en-AU"/>
              </w:rPr>
              <w:t>2</w:t>
            </w:r>
            <w:r>
              <w:rPr>
                <w:lang w:eastAsia="en-AU"/>
              </w:rPr>
              <w:t>, NO</w:t>
            </w:r>
            <w:r w:rsidRPr="001D0F4D">
              <w:rPr>
                <w:vertAlign w:val="subscript"/>
                <w:lang w:eastAsia="en-AU"/>
              </w:rPr>
              <w:t>X</w:t>
            </w:r>
            <w:r>
              <w:rPr>
                <w:lang w:eastAsia="en-AU"/>
              </w:rPr>
              <w:t>, PM</w:t>
            </w:r>
            <w:r>
              <w:rPr>
                <w:vertAlign w:val="subscript"/>
                <w:lang w:eastAsia="en-AU"/>
              </w:rPr>
              <w:t>10</w:t>
            </w:r>
          </w:p>
        </w:tc>
        <w:tc>
          <w:tcPr>
            <w:tcW w:w="1618" w:type="dxa"/>
          </w:tcPr>
          <w:p w14:paraId="6A4D0619" w14:textId="77777777" w:rsidR="00633ADC" w:rsidRDefault="00633ADC" w:rsidP="005B0B21">
            <w:pPr>
              <w:pStyle w:val="BodyText"/>
              <w:keepNext/>
              <w:spacing w:after="0"/>
              <w:rPr>
                <w:lang w:eastAsia="en-AU"/>
              </w:rPr>
            </w:pPr>
            <w:r>
              <w:rPr>
                <w:lang w:eastAsia="en-AU"/>
              </w:rPr>
              <w:t>$587 million</w:t>
            </w:r>
          </w:p>
        </w:tc>
      </w:tr>
      <w:tr w:rsidR="00D4275F" w14:paraId="015F9F83" w14:textId="77777777" w:rsidTr="00D4275F">
        <w:trPr>
          <w:gridAfter w:val="1"/>
          <w:wAfter w:w="11" w:type="dxa"/>
          <w:jc w:val="center"/>
        </w:trPr>
        <w:tc>
          <w:tcPr>
            <w:tcW w:w="1393" w:type="dxa"/>
            <w:tcBorders>
              <w:bottom w:val="single" w:sz="8" w:space="0" w:color="00B2A9" w:themeColor="text2"/>
            </w:tcBorders>
          </w:tcPr>
          <w:p w14:paraId="3AAB387A" w14:textId="77777777" w:rsidR="00633ADC" w:rsidRDefault="00633ADC" w:rsidP="005B0B21">
            <w:pPr>
              <w:pStyle w:val="BodyText"/>
              <w:keepNext/>
              <w:spacing w:after="0"/>
              <w:rPr>
                <w:lang w:eastAsia="en-AU"/>
              </w:rPr>
            </w:pPr>
            <w:r>
              <w:rPr>
                <w:lang w:eastAsia="en-AU"/>
              </w:rPr>
              <w:t>Ward &amp; Power</w:t>
            </w:r>
            <w:r>
              <w:rPr>
                <w:rStyle w:val="FootnoteReference"/>
                <w:lang w:eastAsia="en-AU"/>
              </w:rPr>
              <w:footnoteReference w:id="19"/>
            </w:r>
          </w:p>
        </w:tc>
        <w:tc>
          <w:tcPr>
            <w:tcW w:w="866" w:type="dxa"/>
            <w:tcBorders>
              <w:bottom w:val="single" w:sz="8" w:space="0" w:color="00B2A9" w:themeColor="text2"/>
            </w:tcBorders>
          </w:tcPr>
          <w:p w14:paraId="53AB7A48" w14:textId="77777777" w:rsidR="00633ADC" w:rsidRDefault="00633ADC" w:rsidP="005B0B21">
            <w:pPr>
              <w:pStyle w:val="BodyText"/>
              <w:keepNext/>
              <w:spacing w:after="0"/>
              <w:rPr>
                <w:lang w:eastAsia="en-AU"/>
              </w:rPr>
            </w:pPr>
            <w:r>
              <w:rPr>
                <w:lang w:eastAsia="en-AU"/>
              </w:rPr>
              <w:t>2015</w:t>
            </w:r>
          </w:p>
        </w:tc>
        <w:tc>
          <w:tcPr>
            <w:tcW w:w="1960" w:type="dxa"/>
            <w:tcBorders>
              <w:bottom w:val="single" w:sz="8" w:space="0" w:color="00B2A9" w:themeColor="text2"/>
            </w:tcBorders>
          </w:tcPr>
          <w:p w14:paraId="747F110B" w14:textId="77777777" w:rsidR="00633ADC" w:rsidRDefault="00633ADC" w:rsidP="005B0B21">
            <w:pPr>
              <w:pStyle w:val="BodyText"/>
              <w:keepNext/>
              <w:spacing w:after="0"/>
              <w:rPr>
                <w:lang w:eastAsia="en-AU"/>
              </w:rPr>
            </w:pPr>
            <w:r>
              <w:rPr>
                <w:lang w:eastAsia="en-AU"/>
              </w:rPr>
              <w:t>NEM Review 2017/18</w:t>
            </w:r>
          </w:p>
          <w:p w14:paraId="49BDBA9F" w14:textId="77777777" w:rsidR="00633ADC" w:rsidRDefault="00633ADC" w:rsidP="005B0B21">
            <w:pPr>
              <w:pStyle w:val="BodyText"/>
              <w:keepNext/>
              <w:spacing w:after="0"/>
              <w:rPr>
                <w:lang w:eastAsia="en-AU"/>
              </w:rPr>
            </w:pPr>
            <w:r>
              <w:rPr>
                <w:lang w:eastAsia="en-AU"/>
              </w:rPr>
              <w:t>Excludes Hazelwood</w:t>
            </w:r>
          </w:p>
        </w:tc>
        <w:tc>
          <w:tcPr>
            <w:tcW w:w="1217" w:type="dxa"/>
            <w:tcBorders>
              <w:bottom w:val="single" w:sz="8" w:space="0" w:color="00B2A9" w:themeColor="text2"/>
            </w:tcBorders>
          </w:tcPr>
          <w:p w14:paraId="4AB480B4" w14:textId="0A792721" w:rsidR="00633ADC" w:rsidRDefault="00633ADC" w:rsidP="00633ADC">
            <w:pPr>
              <w:pStyle w:val="BodyText"/>
              <w:keepNext/>
              <w:spacing w:after="0"/>
              <w:jc w:val="center"/>
              <w:rPr>
                <w:lang w:eastAsia="en-AU"/>
              </w:rPr>
            </w:pPr>
            <w:r>
              <w:rPr>
                <w:lang w:eastAsia="en-AU"/>
              </w:rPr>
              <w:t>US</w:t>
            </w:r>
          </w:p>
        </w:tc>
        <w:tc>
          <w:tcPr>
            <w:tcW w:w="1357" w:type="dxa"/>
            <w:tcBorders>
              <w:bottom w:val="single" w:sz="8" w:space="0" w:color="00B2A9" w:themeColor="text2"/>
            </w:tcBorders>
          </w:tcPr>
          <w:p w14:paraId="0EAD47B2" w14:textId="6094E225" w:rsidR="00633ADC" w:rsidRDefault="00633ADC" w:rsidP="005B0B21">
            <w:pPr>
              <w:pStyle w:val="BodyText"/>
              <w:keepNext/>
              <w:spacing w:after="0"/>
              <w:rPr>
                <w:lang w:eastAsia="en-AU"/>
              </w:rPr>
            </w:pPr>
            <w:r>
              <w:rPr>
                <w:lang w:eastAsia="en-AU"/>
              </w:rPr>
              <w:t>$/MWh</w:t>
            </w:r>
          </w:p>
        </w:tc>
        <w:tc>
          <w:tcPr>
            <w:tcW w:w="1442" w:type="dxa"/>
            <w:tcBorders>
              <w:bottom w:val="single" w:sz="8" w:space="0" w:color="00B2A9" w:themeColor="text2"/>
            </w:tcBorders>
          </w:tcPr>
          <w:p w14:paraId="28A43AA7" w14:textId="1B59D1CA" w:rsidR="00633ADC" w:rsidRDefault="00633ADC" w:rsidP="005B0B21">
            <w:pPr>
              <w:pStyle w:val="BodyText"/>
              <w:keepNext/>
              <w:spacing w:after="0"/>
              <w:rPr>
                <w:lang w:eastAsia="en-AU"/>
              </w:rPr>
            </w:pPr>
            <w:r>
              <w:rPr>
                <w:lang w:eastAsia="en-AU"/>
              </w:rPr>
              <w:t>SO</w:t>
            </w:r>
            <w:r w:rsidRPr="001D0F4D">
              <w:rPr>
                <w:vertAlign w:val="subscript"/>
                <w:lang w:eastAsia="en-AU"/>
              </w:rPr>
              <w:t>2</w:t>
            </w:r>
            <w:r>
              <w:rPr>
                <w:lang w:eastAsia="en-AU"/>
              </w:rPr>
              <w:t>^, NO</w:t>
            </w:r>
            <w:r w:rsidRPr="001D0F4D">
              <w:rPr>
                <w:vertAlign w:val="subscript"/>
                <w:lang w:eastAsia="en-AU"/>
              </w:rPr>
              <w:t>X</w:t>
            </w:r>
            <w:r>
              <w:rPr>
                <w:lang w:eastAsia="en-AU"/>
              </w:rPr>
              <w:t>, PM</w:t>
            </w:r>
            <w:r>
              <w:rPr>
                <w:vertAlign w:val="subscript"/>
                <w:lang w:eastAsia="en-AU"/>
              </w:rPr>
              <w:t xml:space="preserve">10, </w:t>
            </w:r>
            <w:r>
              <w:rPr>
                <w:lang w:eastAsia="en-AU"/>
              </w:rPr>
              <w:t>PM</w:t>
            </w:r>
            <w:r>
              <w:rPr>
                <w:vertAlign w:val="subscript"/>
                <w:lang w:eastAsia="en-AU"/>
              </w:rPr>
              <w:t>2.5</w:t>
            </w:r>
          </w:p>
        </w:tc>
        <w:tc>
          <w:tcPr>
            <w:tcW w:w="1618" w:type="dxa"/>
            <w:tcBorders>
              <w:bottom w:val="single" w:sz="8" w:space="0" w:color="00B2A9" w:themeColor="text2"/>
            </w:tcBorders>
          </w:tcPr>
          <w:p w14:paraId="3F6ADAFB" w14:textId="77777777" w:rsidR="00633ADC" w:rsidRDefault="00633ADC" w:rsidP="005B0B21">
            <w:pPr>
              <w:pStyle w:val="BodyText"/>
              <w:keepNext/>
              <w:spacing w:after="0"/>
              <w:rPr>
                <w:lang w:eastAsia="en-AU"/>
              </w:rPr>
            </w:pPr>
            <w:r>
              <w:rPr>
                <w:lang w:eastAsia="en-AU"/>
              </w:rPr>
              <w:t>$592 million</w:t>
            </w:r>
          </w:p>
        </w:tc>
      </w:tr>
      <w:tr w:rsidR="00633ADC" w14:paraId="495140C3" w14:textId="77777777" w:rsidTr="00D4275F">
        <w:trPr>
          <w:jc w:val="center"/>
        </w:trPr>
        <w:tc>
          <w:tcPr>
            <w:tcW w:w="9864" w:type="dxa"/>
            <w:gridSpan w:val="8"/>
            <w:tcBorders>
              <w:bottom w:val="nil"/>
            </w:tcBorders>
          </w:tcPr>
          <w:p w14:paraId="532C64AF" w14:textId="706A1AB6" w:rsidR="00633ADC" w:rsidRPr="00AE7691" w:rsidRDefault="00633ADC" w:rsidP="00633ADC">
            <w:pPr>
              <w:pStyle w:val="BodyText"/>
              <w:keepNext/>
              <w:spacing w:before="0" w:after="0"/>
              <w:ind w:left="45"/>
              <w:rPr>
                <w:sz w:val="15"/>
                <w:szCs w:val="15"/>
              </w:rPr>
            </w:pPr>
            <w:r w:rsidRPr="00AE7691">
              <w:rPr>
                <w:sz w:val="15"/>
                <w:szCs w:val="15"/>
              </w:rPr>
              <w:t># As noted by WHO (2014), when estimating the impacts of both PM2.5 and NO</w:t>
            </w:r>
            <w:r w:rsidR="00C32EC8">
              <w:rPr>
                <w:sz w:val="15"/>
                <w:szCs w:val="15"/>
              </w:rPr>
              <w:t>x</w:t>
            </w:r>
            <w:r w:rsidRPr="00AE7691">
              <w:rPr>
                <w:sz w:val="15"/>
                <w:szCs w:val="15"/>
              </w:rPr>
              <w:t xml:space="preserve"> some double counting may occur (likely overlap can be up to 33 per cent)</w:t>
            </w:r>
            <w:r w:rsidRPr="00AE7691">
              <w:rPr>
                <w:rStyle w:val="FootnoteReference"/>
                <w:sz w:val="15"/>
                <w:szCs w:val="15"/>
                <w:lang w:eastAsia="en-AU"/>
              </w:rPr>
              <w:t xml:space="preserve"> </w:t>
            </w:r>
            <w:r w:rsidRPr="00AE7691">
              <w:rPr>
                <w:rStyle w:val="FootnoteReference"/>
                <w:sz w:val="15"/>
                <w:szCs w:val="15"/>
                <w:lang w:eastAsia="en-AU"/>
              </w:rPr>
              <w:footnoteReference w:id="20"/>
            </w:r>
          </w:p>
          <w:p w14:paraId="12CAD654" w14:textId="77777777" w:rsidR="00633ADC" w:rsidRDefault="00633ADC" w:rsidP="00633ADC">
            <w:pPr>
              <w:pStyle w:val="BodyText"/>
              <w:keepNext/>
              <w:spacing w:before="0" w:after="0"/>
              <w:ind w:left="45"/>
              <w:rPr>
                <w:sz w:val="15"/>
                <w:szCs w:val="15"/>
              </w:rPr>
            </w:pPr>
            <w:r w:rsidRPr="00AE7691">
              <w:rPr>
                <w:sz w:val="15"/>
                <w:szCs w:val="15"/>
              </w:rPr>
              <w:t xml:space="preserve">*The total health cost figures here have been derived by applying the damage costs per pollutant from each source to </w:t>
            </w:r>
            <w:r>
              <w:rPr>
                <w:sz w:val="15"/>
                <w:szCs w:val="15"/>
              </w:rPr>
              <w:t xml:space="preserve">Victoria’s </w:t>
            </w:r>
            <w:r w:rsidRPr="00AE7691">
              <w:rPr>
                <w:sz w:val="15"/>
                <w:szCs w:val="15"/>
              </w:rPr>
              <w:t>generation data.</w:t>
            </w:r>
            <w:r>
              <w:rPr>
                <w:sz w:val="15"/>
                <w:szCs w:val="15"/>
              </w:rPr>
              <w:t xml:space="preserve"> The damage costs applied take into account populations exposed to electricity sector emissions in Victoria or Australia, depending on the study.</w:t>
            </w:r>
          </w:p>
          <w:p w14:paraId="01E50083" w14:textId="318FA956" w:rsidR="00633ADC" w:rsidRPr="006A4615" w:rsidRDefault="00633ADC" w:rsidP="00633ADC">
            <w:pPr>
              <w:pStyle w:val="BodyText"/>
              <w:keepNext/>
              <w:spacing w:before="0" w:after="0"/>
              <w:ind w:left="45"/>
              <w:rPr>
                <w:sz w:val="15"/>
                <w:szCs w:val="15"/>
              </w:rPr>
            </w:pPr>
            <w:r w:rsidRPr="006A4615">
              <w:rPr>
                <w:sz w:val="15"/>
                <w:szCs w:val="15"/>
              </w:rPr>
              <w:t xml:space="preserve">^This study draws on US data and acknowledges the differences between US and Australian power stations </w:t>
            </w:r>
            <w:r>
              <w:rPr>
                <w:sz w:val="15"/>
                <w:szCs w:val="15"/>
              </w:rPr>
              <w:t xml:space="preserve">and emissions intensities </w:t>
            </w:r>
            <w:r w:rsidRPr="006A4615">
              <w:rPr>
                <w:sz w:val="15"/>
                <w:szCs w:val="15"/>
              </w:rPr>
              <w:t>– see discussion on Ward &amp; Power (2015) below.</w:t>
            </w:r>
          </w:p>
        </w:tc>
      </w:tr>
    </w:tbl>
    <w:p w14:paraId="3439F628" w14:textId="6F9A3A33" w:rsidR="004D2D73" w:rsidRDefault="00A83DE7" w:rsidP="005825F6">
      <w:pPr>
        <w:pStyle w:val="BodyText"/>
      </w:pPr>
      <w:r>
        <w:br/>
      </w:r>
      <w:r w:rsidR="006A541F">
        <w:t>Of the figures presented above, the calculation we have most confidence in comes from using the damage costs presented by Ward &amp; Power</w:t>
      </w:r>
      <w:r w:rsidR="000219D8">
        <w:t xml:space="preserve"> (2015)</w:t>
      </w:r>
      <w:r w:rsidR="006A541F">
        <w:t xml:space="preserve">. </w:t>
      </w:r>
      <w:r w:rsidR="007A6338">
        <w:t>This was the most recent study</w:t>
      </w:r>
      <w:r w:rsidR="008B7D40">
        <w:t xml:space="preserve"> undertaken</w:t>
      </w:r>
      <w:r w:rsidR="007A6338">
        <w:t>, and</w:t>
      </w:r>
      <w:r w:rsidR="008B7D40">
        <w:t xml:space="preserve"> the study</w:t>
      </w:r>
      <w:r w:rsidR="001633D7">
        <w:t xml:space="preserve"> presents</w:t>
      </w:r>
      <w:r w:rsidR="007A6338">
        <w:t xml:space="preserve"> damage costs per MWh for each of the (then) four brown coal fired power stations</w:t>
      </w:r>
      <w:r w:rsidR="003A7736">
        <w:t xml:space="preserve"> </w:t>
      </w:r>
      <w:r w:rsidR="004D2D73">
        <w:t xml:space="preserve">in Victoria </w:t>
      </w:r>
      <w:r w:rsidR="003A7736">
        <w:t>(</w:t>
      </w:r>
      <w:r w:rsidR="00FE2CA7">
        <w:t>presented in</w:t>
      </w:r>
      <w:r w:rsidR="003A7736">
        <w:t xml:space="preserve"> Table 2)</w:t>
      </w:r>
      <w:r w:rsidR="007A6338">
        <w:t>, which included four</w:t>
      </w:r>
      <w:r w:rsidR="00C66C69">
        <w:t xml:space="preserve"> </w:t>
      </w:r>
      <w:r w:rsidR="001633D7">
        <w:t xml:space="preserve">of the most </w:t>
      </w:r>
      <w:r w:rsidR="007A6338">
        <w:t>concer</w:t>
      </w:r>
      <w:r w:rsidR="00C66C69">
        <w:t>ning pollutants</w:t>
      </w:r>
      <w:r w:rsidR="008B7D40">
        <w:t xml:space="preserve">, as discussed earlier. </w:t>
      </w:r>
    </w:p>
    <w:p w14:paraId="0E45287A" w14:textId="27A197F8" w:rsidR="005825F6" w:rsidRDefault="008B7D40" w:rsidP="005825F6">
      <w:pPr>
        <w:pStyle w:val="BodyText"/>
      </w:pPr>
      <w:r>
        <w:t>The total health cost of $592 million presented in Table 1 has been calculated using the most recent generation data for 2017/18</w:t>
      </w:r>
      <w:r>
        <w:rPr>
          <w:rStyle w:val="FootnoteReference"/>
        </w:rPr>
        <w:footnoteReference w:id="21"/>
      </w:r>
      <w:r>
        <w:t xml:space="preserve">, and therefore does not include air pollutants from Hazelwood, </w:t>
      </w:r>
      <w:r w:rsidR="001633D7">
        <w:t>as</w:t>
      </w:r>
      <w:r>
        <w:t xml:space="preserve"> it was retired in March 2017. </w:t>
      </w:r>
    </w:p>
    <w:p w14:paraId="3B41E83F" w14:textId="77777777" w:rsidR="00BF75BC" w:rsidRDefault="00BF75BC">
      <w:pPr>
        <w:rPr>
          <w:b/>
          <w:bCs/>
          <w:sz w:val="16"/>
        </w:rPr>
      </w:pPr>
      <w:r>
        <w:br w:type="page"/>
      </w:r>
    </w:p>
    <w:p w14:paraId="7312809A" w14:textId="2989CFD7" w:rsidR="00F26B06" w:rsidRDefault="00F26B06" w:rsidP="00F26B06">
      <w:pPr>
        <w:pStyle w:val="Caption"/>
        <w:jc w:val="center"/>
      </w:pPr>
      <w:r>
        <w:lastRenderedPageBreak/>
        <w:t xml:space="preserve">Table </w:t>
      </w:r>
      <w:r w:rsidR="00FB312A" w:rsidRPr="04CAE562">
        <w:fldChar w:fldCharType="begin"/>
      </w:r>
      <w:r w:rsidR="00FB312A">
        <w:rPr>
          <w:noProof/>
        </w:rPr>
        <w:instrText xml:space="preserve"> SEQ Table \* ARABIC </w:instrText>
      </w:r>
      <w:r w:rsidR="00FB312A" w:rsidRPr="04CAE562">
        <w:rPr>
          <w:noProof/>
        </w:rPr>
        <w:fldChar w:fldCharType="separate"/>
      </w:r>
      <w:r w:rsidR="00A82EA3">
        <w:rPr>
          <w:noProof/>
        </w:rPr>
        <w:t>2</w:t>
      </w:r>
      <w:r w:rsidR="00FB312A" w:rsidRPr="04CAE562">
        <w:fldChar w:fldCharType="end"/>
      </w:r>
      <w:r>
        <w:t xml:space="preserve"> Ward &amp; Power total damage cost/MWh for Victorian power stations</w:t>
      </w:r>
    </w:p>
    <w:tbl>
      <w:tblPr>
        <w:tblStyle w:val="TableGrid"/>
        <w:tblW w:w="0" w:type="auto"/>
        <w:jc w:val="center"/>
        <w:tblLook w:val="04A0" w:firstRow="1" w:lastRow="0" w:firstColumn="1" w:lastColumn="0" w:noHBand="0" w:noVBand="1"/>
      </w:tblPr>
      <w:tblGrid>
        <w:gridCol w:w="1751"/>
        <w:gridCol w:w="1368"/>
      </w:tblGrid>
      <w:tr w:rsidR="00F26B06" w14:paraId="616730AB" w14:textId="77777777" w:rsidTr="00C172FC">
        <w:trPr>
          <w:cnfStyle w:val="100000000000" w:firstRow="1" w:lastRow="0" w:firstColumn="0" w:lastColumn="0" w:oddVBand="0" w:evenVBand="0" w:oddHBand="0" w:evenHBand="0" w:firstRowFirstColumn="0" w:firstRowLastColumn="0" w:lastRowFirstColumn="0" w:lastRowLastColumn="0"/>
          <w:jc w:val="center"/>
        </w:trPr>
        <w:tc>
          <w:tcPr>
            <w:cnfStyle w:val="000000000100" w:firstRow="0" w:lastRow="0" w:firstColumn="0" w:lastColumn="0" w:oddVBand="0" w:evenVBand="0" w:oddHBand="0" w:evenHBand="0" w:firstRowFirstColumn="1" w:firstRowLastColumn="0" w:lastRowFirstColumn="0" w:lastRowLastColumn="0"/>
            <w:tcW w:w="1751" w:type="dxa"/>
          </w:tcPr>
          <w:p w14:paraId="27DC8E9B" w14:textId="77777777" w:rsidR="00F26B06" w:rsidRDefault="00F26B06" w:rsidP="00C172FC">
            <w:pPr>
              <w:pStyle w:val="BodyText"/>
            </w:pPr>
            <w:r>
              <w:t>Power station</w:t>
            </w:r>
          </w:p>
        </w:tc>
        <w:tc>
          <w:tcPr>
            <w:tcW w:w="1368" w:type="dxa"/>
          </w:tcPr>
          <w:p w14:paraId="5357911F" w14:textId="77777777" w:rsidR="00F26B06" w:rsidRDefault="00F26B06" w:rsidP="00C172FC">
            <w:pPr>
              <w:pStyle w:val="BodyText"/>
              <w:ind w:left="0"/>
              <w:cnfStyle w:val="100000000000" w:firstRow="1" w:lastRow="0" w:firstColumn="0" w:lastColumn="0" w:oddVBand="0" w:evenVBand="0" w:oddHBand="0" w:evenHBand="0" w:firstRowFirstColumn="0" w:firstRowLastColumn="0" w:lastRowFirstColumn="0" w:lastRowLastColumn="0"/>
            </w:pPr>
            <w:r>
              <w:t>Damage cost ($2018)/MWh</w:t>
            </w:r>
          </w:p>
        </w:tc>
      </w:tr>
      <w:tr w:rsidR="00F26B06" w14:paraId="3242847A" w14:textId="77777777" w:rsidTr="00C172FC">
        <w:trPr>
          <w:jc w:val="center"/>
        </w:trPr>
        <w:tc>
          <w:tcPr>
            <w:tcW w:w="1751" w:type="dxa"/>
          </w:tcPr>
          <w:p w14:paraId="4EC30B3A" w14:textId="77777777" w:rsidR="00F26B06" w:rsidRDefault="00F26B06" w:rsidP="00C172FC">
            <w:pPr>
              <w:pStyle w:val="BodyText"/>
            </w:pPr>
            <w:r>
              <w:t>Hazelwood</w:t>
            </w:r>
          </w:p>
        </w:tc>
        <w:tc>
          <w:tcPr>
            <w:tcW w:w="1368" w:type="dxa"/>
          </w:tcPr>
          <w:p w14:paraId="2B929A9F" w14:textId="77777777" w:rsidR="00F26B06" w:rsidRDefault="00F26B06" w:rsidP="00C172FC">
            <w:pPr>
              <w:pStyle w:val="BodyText"/>
              <w:ind w:left="0"/>
              <w:jc w:val="center"/>
            </w:pPr>
            <w:r>
              <w:t>8.44</w:t>
            </w:r>
          </w:p>
        </w:tc>
      </w:tr>
      <w:tr w:rsidR="00F26B06" w14:paraId="782F4034" w14:textId="77777777" w:rsidTr="00C172FC">
        <w:trPr>
          <w:jc w:val="center"/>
        </w:trPr>
        <w:tc>
          <w:tcPr>
            <w:tcW w:w="1751" w:type="dxa"/>
          </w:tcPr>
          <w:p w14:paraId="3CE1176F" w14:textId="77777777" w:rsidR="00F26B06" w:rsidRDefault="00F26B06" w:rsidP="00C172FC">
            <w:pPr>
              <w:pStyle w:val="BodyText"/>
            </w:pPr>
            <w:r>
              <w:t>Loy Yang A</w:t>
            </w:r>
          </w:p>
        </w:tc>
        <w:tc>
          <w:tcPr>
            <w:tcW w:w="1368" w:type="dxa"/>
          </w:tcPr>
          <w:p w14:paraId="224CD25F" w14:textId="77777777" w:rsidR="00F26B06" w:rsidRDefault="00F26B06" w:rsidP="00C172FC">
            <w:pPr>
              <w:pStyle w:val="BodyText"/>
              <w:ind w:left="0"/>
              <w:jc w:val="center"/>
            </w:pPr>
            <w:r>
              <w:t>18.85</w:t>
            </w:r>
          </w:p>
        </w:tc>
      </w:tr>
      <w:tr w:rsidR="00F26B06" w14:paraId="4DAEE63E" w14:textId="77777777" w:rsidTr="00C172FC">
        <w:trPr>
          <w:jc w:val="center"/>
        </w:trPr>
        <w:tc>
          <w:tcPr>
            <w:tcW w:w="1751" w:type="dxa"/>
          </w:tcPr>
          <w:p w14:paraId="47BF05D9" w14:textId="77777777" w:rsidR="00F26B06" w:rsidRDefault="00F26B06" w:rsidP="00C172FC">
            <w:pPr>
              <w:pStyle w:val="BodyText"/>
            </w:pPr>
            <w:r>
              <w:t>Loy Yang B</w:t>
            </w:r>
          </w:p>
        </w:tc>
        <w:tc>
          <w:tcPr>
            <w:tcW w:w="1368" w:type="dxa"/>
          </w:tcPr>
          <w:p w14:paraId="06503286" w14:textId="77777777" w:rsidR="00F26B06" w:rsidRDefault="00F26B06" w:rsidP="00C172FC">
            <w:pPr>
              <w:pStyle w:val="BodyText"/>
              <w:ind w:left="0"/>
              <w:jc w:val="center"/>
            </w:pPr>
            <w:r>
              <w:t>16.86</w:t>
            </w:r>
          </w:p>
        </w:tc>
      </w:tr>
      <w:tr w:rsidR="00F26B06" w14:paraId="72596624" w14:textId="77777777" w:rsidTr="00C172FC">
        <w:trPr>
          <w:jc w:val="center"/>
        </w:trPr>
        <w:tc>
          <w:tcPr>
            <w:tcW w:w="1751" w:type="dxa"/>
          </w:tcPr>
          <w:p w14:paraId="49C3AEC4" w14:textId="77777777" w:rsidR="00F26B06" w:rsidRDefault="00F26B06" w:rsidP="00C172FC">
            <w:pPr>
              <w:pStyle w:val="BodyText"/>
            </w:pPr>
            <w:r>
              <w:t>Yallourn</w:t>
            </w:r>
          </w:p>
        </w:tc>
        <w:tc>
          <w:tcPr>
            <w:tcW w:w="1368" w:type="dxa"/>
          </w:tcPr>
          <w:p w14:paraId="731471A9" w14:textId="77777777" w:rsidR="00F26B06" w:rsidRDefault="00F26B06" w:rsidP="00C172FC">
            <w:pPr>
              <w:pStyle w:val="BodyText"/>
              <w:ind w:left="0"/>
              <w:jc w:val="center"/>
            </w:pPr>
            <w:r>
              <w:t>11.92</w:t>
            </w:r>
          </w:p>
        </w:tc>
      </w:tr>
    </w:tbl>
    <w:p w14:paraId="7BD19C3E" w14:textId="60AE8A4B" w:rsidR="00A57A91" w:rsidRPr="004D2D73" w:rsidRDefault="00227853" w:rsidP="004D2D73">
      <w:pPr>
        <w:pStyle w:val="BodyText"/>
      </w:pPr>
      <w:r>
        <w:br/>
      </w:r>
      <w:r w:rsidR="00FE2CA7" w:rsidRPr="00227853">
        <w:t>Ward &amp; Power</w:t>
      </w:r>
      <w:r w:rsidR="000219D8" w:rsidRPr="00227853">
        <w:t xml:space="preserve"> (2015)</w:t>
      </w:r>
      <w:r w:rsidR="00FE2CA7" w:rsidRPr="00227853">
        <w:t xml:space="preserve"> used modelling that was undertaken for the US National Academy of Science (NAS) in</w:t>
      </w:r>
      <w:r w:rsidR="00FE2CA7" w:rsidRPr="004D2D73">
        <w:t xml:space="preserve"> 2010</w:t>
      </w:r>
      <w:r w:rsidR="00FE2CA7" w:rsidRPr="004D2D73">
        <w:rPr>
          <w:rStyle w:val="FootnoteReference"/>
        </w:rPr>
        <w:footnoteReference w:id="22"/>
      </w:r>
      <w:r w:rsidR="00FE2CA7" w:rsidRPr="004D2D73">
        <w:rPr>
          <w:vertAlign w:val="superscript"/>
        </w:rPr>
        <w:t xml:space="preserve"> </w:t>
      </w:r>
      <w:r w:rsidR="00FE2CA7" w:rsidRPr="004D2D73">
        <w:t xml:space="preserve">and adapted it to an Australian context. </w:t>
      </w:r>
      <w:r w:rsidR="00A57A91" w:rsidRPr="004D2D73">
        <w:t>It should be noted that the Ward &amp; Power study includes damage costs for both PM</w:t>
      </w:r>
      <w:r w:rsidR="00A57A91" w:rsidRPr="004D2D73">
        <w:rPr>
          <w:vertAlign w:val="subscript"/>
        </w:rPr>
        <w:t xml:space="preserve">2.5 </w:t>
      </w:r>
      <w:r w:rsidR="00A57A91" w:rsidRPr="004D2D73">
        <w:t>and PM</w:t>
      </w:r>
      <w:r w:rsidR="00A57A91" w:rsidRPr="004D2D73">
        <w:rPr>
          <w:vertAlign w:val="subscript"/>
        </w:rPr>
        <w:t>10</w:t>
      </w:r>
      <w:r w:rsidR="00FE2CA7" w:rsidRPr="004D2D73">
        <w:t xml:space="preserve">, taken </w:t>
      </w:r>
      <w:r w:rsidR="00A57A91" w:rsidRPr="004D2D73">
        <w:t xml:space="preserve">from </w:t>
      </w:r>
      <w:r w:rsidR="00FE2CA7" w:rsidRPr="004D2D73">
        <w:t xml:space="preserve">the </w:t>
      </w:r>
      <w:r w:rsidR="00A57A91" w:rsidRPr="004D2D73">
        <w:t xml:space="preserve">NAS </w:t>
      </w:r>
      <w:r w:rsidR="000219D8">
        <w:t xml:space="preserve">(2010) </w:t>
      </w:r>
      <w:r w:rsidR="00FE2CA7" w:rsidRPr="004D2D73">
        <w:t>study</w:t>
      </w:r>
      <w:r w:rsidR="00A57A91" w:rsidRPr="004D2D73">
        <w:t xml:space="preserve">. </w:t>
      </w:r>
      <w:r w:rsidR="00C32649">
        <w:t>Noting</w:t>
      </w:r>
      <w:r w:rsidR="00A57A91" w:rsidRPr="004D2D73">
        <w:t xml:space="preserve"> PM</w:t>
      </w:r>
      <w:r w:rsidR="00A57A91" w:rsidRPr="004D2D73">
        <w:rPr>
          <w:vertAlign w:val="subscript"/>
        </w:rPr>
        <w:t xml:space="preserve">2.5 </w:t>
      </w:r>
      <w:r w:rsidR="00A57A91" w:rsidRPr="004D2D73">
        <w:t>is a subset of PM</w:t>
      </w:r>
      <w:r w:rsidR="00A57A91" w:rsidRPr="004D2D73">
        <w:rPr>
          <w:vertAlign w:val="subscript"/>
        </w:rPr>
        <w:t>10</w:t>
      </w:r>
      <w:r w:rsidR="00FE2CA7" w:rsidRPr="004D2D73">
        <w:t>, the NAS</w:t>
      </w:r>
      <w:r w:rsidR="00A57A91" w:rsidRPr="004D2D73">
        <w:t xml:space="preserve"> </w:t>
      </w:r>
      <w:r w:rsidR="000219D8">
        <w:t xml:space="preserve">(2010) </w:t>
      </w:r>
      <w:r w:rsidR="00A57A91" w:rsidRPr="004D2D73">
        <w:t>study explicitly avoids double counting of damages due to PM</w:t>
      </w:r>
      <w:r w:rsidR="00A57A91" w:rsidRPr="004D2D73">
        <w:rPr>
          <w:vertAlign w:val="subscript"/>
        </w:rPr>
        <w:t xml:space="preserve">2.5 </w:t>
      </w:r>
      <w:r w:rsidR="00A57A91" w:rsidRPr="004D2D73">
        <w:t>and PM</w:t>
      </w:r>
      <w:r w:rsidR="00A57A91" w:rsidRPr="004D2D73">
        <w:rPr>
          <w:vertAlign w:val="subscript"/>
        </w:rPr>
        <w:t>10</w:t>
      </w:r>
      <w:r w:rsidR="004F5553">
        <w:rPr>
          <w:rStyle w:val="FootnoteReference"/>
        </w:rPr>
        <w:footnoteReference w:id="23"/>
      </w:r>
      <w:r w:rsidR="00A57A91" w:rsidRPr="004D2D73">
        <w:t xml:space="preserve">. </w:t>
      </w:r>
    </w:p>
    <w:p w14:paraId="03888C35" w14:textId="66234550" w:rsidR="001E5992" w:rsidRPr="004D2D73" w:rsidRDefault="00FB238B" w:rsidP="004D2D73">
      <w:pPr>
        <w:pStyle w:val="BodyText"/>
      </w:pPr>
      <w:r w:rsidRPr="004D2D73">
        <w:t xml:space="preserve">The NAS </w:t>
      </w:r>
      <w:r w:rsidR="000219D8">
        <w:t xml:space="preserve">(2010) </w:t>
      </w:r>
      <w:r w:rsidR="00DF4C4D" w:rsidRPr="004D2D73">
        <w:t xml:space="preserve">study </w:t>
      </w:r>
      <w:r w:rsidRPr="004D2D73">
        <w:t xml:space="preserve">undertook modelling for 406 </w:t>
      </w:r>
      <w:r w:rsidR="00AD2DDA" w:rsidRPr="004D2D73">
        <w:t xml:space="preserve">black </w:t>
      </w:r>
      <w:r w:rsidRPr="004D2D73">
        <w:t xml:space="preserve">coal-fired power stations </w:t>
      </w:r>
      <w:r w:rsidR="001633D7" w:rsidRPr="004D2D73">
        <w:t>across</w:t>
      </w:r>
      <w:r w:rsidRPr="004D2D73">
        <w:t xml:space="preserve"> the US. To determine </w:t>
      </w:r>
      <w:r w:rsidR="004F5553">
        <w:t>those comparable to</w:t>
      </w:r>
      <w:r w:rsidRPr="004D2D73">
        <w:t xml:space="preserve"> Victorian power stations</w:t>
      </w:r>
      <w:r w:rsidR="00C32649">
        <w:t xml:space="preserve"> (specifically, Hazelwood)</w:t>
      </w:r>
      <w:r w:rsidRPr="004D2D73">
        <w:t>, Ward &amp; Power</w:t>
      </w:r>
      <w:r w:rsidR="000219D8">
        <w:t xml:space="preserve"> (2015)</w:t>
      </w:r>
      <w:r w:rsidRPr="004D2D73">
        <w:t xml:space="preserve"> </w:t>
      </w:r>
      <w:r w:rsidR="001633D7" w:rsidRPr="004D2D73">
        <w:t>looked at</w:t>
      </w:r>
      <w:r w:rsidRPr="004D2D73">
        <w:t xml:space="preserve"> two major determinants of local impact for coal</w:t>
      </w:r>
      <w:r w:rsidR="004F5553">
        <w:t>-fired power</w:t>
      </w:r>
      <w:r w:rsidRPr="004D2D73">
        <w:t xml:space="preserve"> stations – stack height and local population density.</w:t>
      </w:r>
      <w:r w:rsidR="00AD2DDA" w:rsidRPr="004D2D73">
        <w:t xml:space="preserve"> </w:t>
      </w:r>
      <w:r w:rsidR="001E5992" w:rsidRPr="004D2D73">
        <w:t xml:space="preserve">Ward &amp; Power </w:t>
      </w:r>
      <w:r w:rsidR="000219D8">
        <w:t xml:space="preserve">(2015) </w:t>
      </w:r>
      <w:r w:rsidR="00663D39">
        <w:t>also recognised</w:t>
      </w:r>
      <w:r w:rsidR="001E5992" w:rsidRPr="004D2D73">
        <w:t xml:space="preserve"> th</w:t>
      </w:r>
      <w:r w:rsidR="00C32649">
        <w:t>at Hazelwood’s</w:t>
      </w:r>
      <w:r w:rsidR="00460E31">
        <w:t xml:space="preserve"> </w:t>
      </w:r>
      <w:r w:rsidR="00C32649">
        <w:t>pollutant emission intensity</w:t>
      </w:r>
      <w:r w:rsidR="001E5992" w:rsidRPr="004D2D73">
        <w:t xml:space="preserve"> </w:t>
      </w:r>
      <w:r w:rsidR="006458CA">
        <w:t>(excluding CO</w:t>
      </w:r>
      <w:r w:rsidR="006458CA">
        <w:rPr>
          <w:vertAlign w:val="subscript"/>
        </w:rPr>
        <w:t>2</w:t>
      </w:r>
      <w:r w:rsidR="00A13761">
        <w:rPr>
          <w:vertAlign w:val="subscript"/>
        </w:rPr>
        <w:t xml:space="preserve"> </w:t>
      </w:r>
      <w:r w:rsidR="00A13761">
        <w:t>and NO</w:t>
      </w:r>
      <w:r w:rsidR="00A13761">
        <w:rPr>
          <w:vertAlign w:val="subscript"/>
        </w:rPr>
        <w:t>x</w:t>
      </w:r>
      <w:r w:rsidR="006458CA">
        <w:t>)</w:t>
      </w:r>
      <w:r w:rsidR="00663D39">
        <w:t xml:space="preserve"> </w:t>
      </w:r>
      <w:r w:rsidR="00C32649">
        <w:t xml:space="preserve">was, on a per </w:t>
      </w:r>
      <w:r w:rsidR="00460E31">
        <w:t>M</w:t>
      </w:r>
      <w:r w:rsidR="00C32649">
        <w:t xml:space="preserve">Wh basis, relatively low compared with </w:t>
      </w:r>
      <w:r w:rsidR="00663D39">
        <w:t xml:space="preserve">US </w:t>
      </w:r>
      <w:r w:rsidR="00C32649">
        <w:t>power stations</w:t>
      </w:r>
      <w:r w:rsidR="00A13761">
        <w:t xml:space="preserve">, </w:t>
      </w:r>
      <w:r w:rsidR="00460E31" w:rsidRPr="004D2D73">
        <w:t>particularly</w:t>
      </w:r>
      <w:r w:rsidR="00854A52" w:rsidRPr="004D2D73">
        <w:t xml:space="preserve"> for SO</w:t>
      </w:r>
      <w:r w:rsidR="00854A52" w:rsidRPr="004D2D73">
        <w:rPr>
          <w:vertAlign w:val="subscript"/>
        </w:rPr>
        <w:t>2</w:t>
      </w:r>
      <w:r w:rsidR="00A13761">
        <w:t xml:space="preserve"> (which accounts for </w:t>
      </w:r>
      <w:proofErr w:type="gramStart"/>
      <w:r w:rsidR="00A13761">
        <w:t>a vast majority</w:t>
      </w:r>
      <w:proofErr w:type="gramEnd"/>
      <w:r w:rsidR="00A13761">
        <w:t xml:space="preserve"> of air pollution costs in the US)</w:t>
      </w:r>
      <w:r w:rsidR="00854A52" w:rsidRPr="004D2D73">
        <w:t>. This is reflected in the central estimates of damage costs chosen by Ward &amp; Power</w:t>
      </w:r>
      <w:r w:rsidR="000219D8">
        <w:t xml:space="preserve"> (2015)</w:t>
      </w:r>
      <w:r w:rsidR="00854A52" w:rsidRPr="004D2D73">
        <w:t xml:space="preserve"> to be applied to the Victorian context</w:t>
      </w:r>
      <w:r w:rsidR="004235F7">
        <w:rPr>
          <w:rStyle w:val="FootnoteReference"/>
        </w:rPr>
        <w:footnoteReference w:id="24"/>
      </w:r>
      <w:r w:rsidR="00854A52" w:rsidRPr="004D2D73">
        <w:t xml:space="preserve">. The central estimates presented in Table 2 are relatively low compared to the median damage cost for US power stations, which was estimated to be $35.86/MWh. </w:t>
      </w:r>
    </w:p>
    <w:p w14:paraId="08EE053E" w14:textId="575148A9" w:rsidR="000240F0" w:rsidRPr="004D2D73" w:rsidRDefault="00FB238B" w:rsidP="004D2D73">
      <w:pPr>
        <w:pStyle w:val="BodyText"/>
      </w:pPr>
      <w:r w:rsidRPr="004D2D73">
        <w:t>Ward &amp; Power</w:t>
      </w:r>
      <w:r w:rsidR="000219D8">
        <w:t xml:space="preserve"> (2015)</w:t>
      </w:r>
      <w:r w:rsidRPr="004D2D73">
        <w:t xml:space="preserve"> made assumptions that </w:t>
      </w:r>
      <w:r w:rsidR="006B0D24" w:rsidRPr="004D2D73">
        <w:t>dose-response</w:t>
      </w:r>
      <w:r w:rsidR="004F5553">
        <w:rPr>
          <w:rStyle w:val="FootnoteReference"/>
        </w:rPr>
        <w:footnoteReference w:id="25"/>
      </w:r>
      <w:r w:rsidR="006B0D24" w:rsidRPr="004D2D73">
        <w:t xml:space="preserve"> and valuation aspects of the NAS</w:t>
      </w:r>
      <w:r w:rsidR="000219D8">
        <w:t xml:space="preserve"> (2010)</w:t>
      </w:r>
      <w:r w:rsidR="006B0D24" w:rsidRPr="004D2D73">
        <w:t xml:space="preserve"> model </w:t>
      </w:r>
      <w:r w:rsidR="00EA3B22" w:rsidRPr="004D2D73">
        <w:t>are</w:t>
      </w:r>
      <w:r w:rsidR="006B0D24" w:rsidRPr="004D2D73">
        <w:t xml:space="preserve"> applicable to the Australian context</w:t>
      </w:r>
      <w:r w:rsidR="00EA3B22" w:rsidRPr="004D2D73">
        <w:t xml:space="preserve">, stating </w:t>
      </w:r>
      <w:r w:rsidRPr="004D2D73">
        <w:t>there would unlikely be significant differences in health impacts between the US and Australia; and that health effects would have similar valuations with similar per capita incomes and consumer behav</w:t>
      </w:r>
      <w:r w:rsidR="004F5553">
        <w:t>iours</w:t>
      </w:r>
      <w:r w:rsidR="000240F0" w:rsidRPr="004D2D73">
        <w:t>.</w:t>
      </w:r>
    </w:p>
    <w:p w14:paraId="3F89A3FF" w14:textId="53837A6C" w:rsidR="006B587C" w:rsidRPr="00D27DB7" w:rsidRDefault="006B587C" w:rsidP="004D2D73">
      <w:pPr>
        <w:pStyle w:val="BodyText"/>
        <w:rPr>
          <w:color w:val="auto"/>
        </w:rPr>
      </w:pPr>
      <w:r w:rsidRPr="004D2D73">
        <w:t xml:space="preserve">Ward &amp; Power </w:t>
      </w:r>
      <w:r w:rsidR="000219D8">
        <w:t xml:space="preserve">(2015) </w:t>
      </w:r>
      <w:r w:rsidRPr="004D2D73">
        <w:t xml:space="preserve">note that their air pollution cost estimates are rough, and </w:t>
      </w:r>
      <w:r w:rsidR="0042677A">
        <w:t>that</w:t>
      </w:r>
      <w:r w:rsidRPr="000219D8">
        <w:t xml:space="preserve"> incomplete data </w:t>
      </w:r>
      <w:r w:rsidR="006027D2" w:rsidRPr="000219D8">
        <w:t xml:space="preserve">on background air pollutant concentration rates or health complications in Gippsland, </w:t>
      </w:r>
      <w:r w:rsidR="0096090D">
        <w:t>means</w:t>
      </w:r>
      <w:r w:rsidR="006027D2" w:rsidRPr="000219D8">
        <w:t xml:space="preserve"> their health impact cost estimates are </w:t>
      </w:r>
      <w:r w:rsidR="0096090D">
        <w:t>uncertain</w:t>
      </w:r>
      <w:r w:rsidR="006027D2" w:rsidRPr="000219D8">
        <w:t xml:space="preserve">. </w:t>
      </w:r>
      <w:bookmarkStart w:id="1" w:name="_Hlk531765732"/>
      <w:r w:rsidR="00E9542A">
        <w:t>They</w:t>
      </w:r>
      <w:r w:rsidR="006027D2" w:rsidRPr="000219D8">
        <w:t xml:space="preserve"> also note that the NAS model only looks at four pollutants, and other pollutants (such as mercury, lead, arsenic, VOCs) which are also significant public health hazards are not accounted for, and therefore means they are likely to have underestimated the true cost of air pollution.</w:t>
      </w:r>
      <w:bookmarkEnd w:id="1"/>
    </w:p>
    <w:p w14:paraId="4AF9164A" w14:textId="77777777" w:rsidR="006C3663" w:rsidRPr="00D27DB7" w:rsidRDefault="006C3663" w:rsidP="006C3663">
      <w:pPr>
        <w:pStyle w:val="Heading3"/>
      </w:pPr>
      <w:r w:rsidRPr="00D27DB7">
        <w:t>Transport</w:t>
      </w:r>
      <w:r w:rsidR="00730EA0" w:rsidRPr="00D27DB7">
        <w:t xml:space="preserve"> sector</w:t>
      </w:r>
    </w:p>
    <w:p w14:paraId="50D8F1A5" w14:textId="6EEA00B0" w:rsidR="006C3663" w:rsidRPr="00FA5B76" w:rsidRDefault="006C3663" w:rsidP="006C3663">
      <w:pPr>
        <w:pStyle w:val="BodyText"/>
        <w:rPr>
          <w:lang w:eastAsia="en-AU"/>
        </w:rPr>
      </w:pPr>
      <w:r>
        <w:rPr>
          <w:lang w:eastAsia="en-AU"/>
        </w:rPr>
        <w:t>The key air pollutants of concern coming from transport are PM</w:t>
      </w:r>
      <w:r w:rsidRPr="001D0F4D">
        <w:rPr>
          <w:vertAlign w:val="subscript"/>
          <w:lang w:eastAsia="en-AU"/>
        </w:rPr>
        <w:t>2.5</w:t>
      </w:r>
      <w:r>
        <w:rPr>
          <w:lang w:eastAsia="en-AU"/>
        </w:rPr>
        <w:t>, NO</w:t>
      </w:r>
      <w:r w:rsidRPr="001D0F4D">
        <w:rPr>
          <w:vertAlign w:val="subscript"/>
          <w:lang w:eastAsia="en-AU"/>
        </w:rPr>
        <w:t>X</w:t>
      </w:r>
      <w:r>
        <w:rPr>
          <w:vertAlign w:val="subscript"/>
          <w:lang w:eastAsia="en-AU"/>
        </w:rPr>
        <w:t xml:space="preserve"> </w:t>
      </w:r>
      <w:r>
        <w:rPr>
          <w:lang w:eastAsia="en-AU"/>
        </w:rPr>
        <w:t>and SO</w:t>
      </w:r>
      <w:r w:rsidRPr="001D0F4D">
        <w:rPr>
          <w:vertAlign w:val="subscript"/>
          <w:lang w:eastAsia="en-AU"/>
        </w:rPr>
        <w:t>2</w:t>
      </w:r>
      <w:r w:rsidR="003F0B8E">
        <w:rPr>
          <w:vertAlign w:val="subscript"/>
          <w:lang w:eastAsia="en-AU"/>
        </w:rPr>
        <w:t xml:space="preserve">, </w:t>
      </w:r>
      <w:r w:rsidR="003F0B8E">
        <w:rPr>
          <w:lang w:eastAsia="en-AU"/>
        </w:rPr>
        <w:t xml:space="preserve">as well as </w:t>
      </w:r>
      <w:r>
        <w:rPr>
          <w:lang w:eastAsia="en-AU"/>
        </w:rPr>
        <w:t>particles of PM</w:t>
      </w:r>
      <w:r w:rsidRPr="00664D47">
        <w:rPr>
          <w:vertAlign w:val="subscript"/>
          <w:lang w:eastAsia="en-AU"/>
        </w:rPr>
        <w:t>10</w:t>
      </w:r>
      <w:r>
        <w:rPr>
          <w:lang w:eastAsia="en-AU"/>
        </w:rPr>
        <w:t xml:space="preserve"> </w:t>
      </w:r>
      <w:r w:rsidR="003F0B8E">
        <w:rPr>
          <w:lang w:eastAsia="en-AU"/>
        </w:rPr>
        <w:t xml:space="preserve">(which are </w:t>
      </w:r>
      <w:r>
        <w:rPr>
          <w:lang w:eastAsia="en-AU"/>
        </w:rPr>
        <w:t>generally present</w:t>
      </w:r>
      <w:r w:rsidR="003F0B8E">
        <w:rPr>
          <w:lang w:eastAsia="en-AU"/>
        </w:rPr>
        <w:t xml:space="preserve"> as road dust)</w:t>
      </w:r>
      <w:r>
        <w:rPr>
          <w:rStyle w:val="FootnoteReference"/>
          <w:lang w:eastAsia="en-AU"/>
        </w:rPr>
        <w:footnoteReference w:id="26"/>
      </w:r>
      <w:r>
        <w:rPr>
          <w:lang w:eastAsia="en-AU"/>
        </w:rPr>
        <w:t xml:space="preserve">. Diesel </w:t>
      </w:r>
      <w:r w:rsidR="007E1968">
        <w:rPr>
          <w:lang w:eastAsia="en-AU"/>
        </w:rPr>
        <w:t xml:space="preserve">engine </w:t>
      </w:r>
      <w:r>
        <w:rPr>
          <w:lang w:eastAsia="en-AU"/>
        </w:rPr>
        <w:t xml:space="preserve">emissions are particularly </w:t>
      </w:r>
      <w:r w:rsidR="005A79C6">
        <w:rPr>
          <w:lang w:eastAsia="en-AU"/>
        </w:rPr>
        <w:t>a concern for public health</w:t>
      </w:r>
      <w:r>
        <w:rPr>
          <w:lang w:eastAsia="en-AU"/>
        </w:rPr>
        <w:t xml:space="preserve"> as they </w:t>
      </w:r>
      <w:r w:rsidR="007E1968">
        <w:rPr>
          <w:lang w:eastAsia="en-AU"/>
        </w:rPr>
        <w:lastRenderedPageBreak/>
        <w:t xml:space="preserve">contain </w:t>
      </w:r>
      <w:r>
        <w:rPr>
          <w:lang w:eastAsia="en-AU"/>
        </w:rPr>
        <w:t>large</w:t>
      </w:r>
      <w:r w:rsidR="007E1968">
        <w:rPr>
          <w:lang w:eastAsia="en-AU"/>
        </w:rPr>
        <w:t>r</w:t>
      </w:r>
      <w:r>
        <w:rPr>
          <w:lang w:eastAsia="en-AU"/>
        </w:rPr>
        <w:t xml:space="preserve"> quantities of PM</w:t>
      </w:r>
      <w:r w:rsidRPr="001D0F4D">
        <w:rPr>
          <w:vertAlign w:val="subscript"/>
          <w:lang w:eastAsia="en-AU"/>
        </w:rPr>
        <w:t>2.5</w:t>
      </w:r>
      <w:r>
        <w:rPr>
          <w:vertAlign w:val="subscript"/>
          <w:lang w:eastAsia="en-AU"/>
        </w:rPr>
        <w:t xml:space="preserve"> </w:t>
      </w:r>
      <w:r>
        <w:rPr>
          <w:lang w:eastAsia="en-AU"/>
        </w:rPr>
        <w:t>and consequently have been classified by the World Health Organisation as carcinogenic</w:t>
      </w:r>
      <w:r>
        <w:rPr>
          <w:rStyle w:val="FootnoteReference"/>
          <w:lang w:eastAsia="en-AU"/>
        </w:rPr>
        <w:footnoteReference w:id="27"/>
      </w:r>
      <w:r>
        <w:rPr>
          <w:lang w:eastAsia="en-AU"/>
        </w:rPr>
        <w:t>.</w:t>
      </w:r>
      <w:r w:rsidR="007274D8">
        <w:rPr>
          <w:lang w:eastAsia="en-AU"/>
        </w:rPr>
        <w:t xml:space="preserve"> Total estimated health costs of air pollution from the transport sector are summarised in Table 3.</w:t>
      </w:r>
    </w:p>
    <w:p w14:paraId="5405A51F" w14:textId="5602AD98" w:rsidR="00AF3DA5" w:rsidRDefault="00216896" w:rsidP="006C3663">
      <w:pPr>
        <w:pStyle w:val="BodyText"/>
        <w:rPr>
          <w:lang w:eastAsia="en-AU"/>
        </w:rPr>
      </w:pPr>
      <w:r>
        <w:rPr>
          <w:lang w:eastAsia="en-AU"/>
        </w:rPr>
        <w:t>A</w:t>
      </w:r>
      <w:r w:rsidR="006458CA">
        <w:rPr>
          <w:lang w:eastAsia="en-AU"/>
        </w:rPr>
        <w:t>n</w:t>
      </w:r>
      <w:r w:rsidR="00AF3DA5">
        <w:rPr>
          <w:lang w:eastAsia="en-AU"/>
        </w:rPr>
        <w:t xml:space="preserve"> </w:t>
      </w:r>
      <w:r w:rsidR="00FF34E6">
        <w:rPr>
          <w:lang w:eastAsia="en-AU"/>
        </w:rPr>
        <w:t>independent review was</w:t>
      </w:r>
      <w:r w:rsidR="00AF3DA5">
        <w:rPr>
          <w:lang w:eastAsia="en-AU"/>
        </w:rPr>
        <w:t xml:space="preserve"> undertaken in 2016 </w:t>
      </w:r>
      <w:r w:rsidR="00FF34E6">
        <w:rPr>
          <w:lang w:eastAsia="en-AU"/>
        </w:rPr>
        <w:t xml:space="preserve">by Marsden Jacobs and Pacific Environment Limited </w:t>
      </w:r>
      <w:r w:rsidR="00EC58B4">
        <w:rPr>
          <w:lang w:eastAsia="en-AU"/>
        </w:rPr>
        <w:t xml:space="preserve">(PEL) </w:t>
      </w:r>
      <w:r w:rsidR="00FF34E6">
        <w:rPr>
          <w:lang w:eastAsia="en-AU"/>
        </w:rPr>
        <w:t xml:space="preserve">for </w:t>
      </w:r>
      <w:r w:rsidR="00986841">
        <w:rPr>
          <w:lang w:eastAsia="en-AU"/>
        </w:rPr>
        <w:t xml:space="preserve">the </w:t>
      </w:r>
      <w:r w:rsidR="006458CA">
        <w:rPr>
          <w:lang w:eastAsia="en-AU"/>
        </w:rPr>
        <w:t xml:space="preserve">Australian Government </w:t>
      </w:r>
      <w:r w:rsidR="00986841">
        <w:rPr>
          <w:lang w:eastAsia="en-AU"/>
        </w:rPr>
        <w:t>Department of the Environment</w:t>
      </w:r>
      <w:r w:rsidR="00FF34E6">
        <w:rPr>
          <w:lang w:eastAsia="en-AU"/>
        </w:rPr>
        <w:t xml:space="preserve"> of the </w:t>
      </w:r>
      <w:r w:rsidR="00FF34E6">
        <w:rPr>
          <w:i/>
          <w:lang w:eastAsia="en-AU"/>
        </w:rPr>
        <w:t>Fuel Quality Standards Act 2000</w:t>
      </w:r>
      <w:r w:rsidR="00FF34E6">
        <w:rPr>
          <w:rStyle w:val="FootnoteReference"/>
          <w:i/>
          <w:lang w:eastAsia="en-AU"/>
        </w:rPr>
        <w:footnoteReference w:id="28"/>
      </w:r>
      <w:r w:rsidR="00FF34E6">
        <w:rPr>
          <w:i/>
          <w:lang w:eastAsia="en-AU"/>
        </w:rPr>
        <w:t>.</w:t>
      </w:r>
      <w:r w:rsidR="00FF34E6">
        <w:rPr>
          <w:lang w:eastAsia="en-AU"/>
        </w:rPr>
        <w:t xml:space="preserve"> In assessing the benefits that have been realised since the introduction of the standards, the review estimated health costs from </w:t>
      </w:r>
      <w:r w:rsidR="003D5036">
        <w:rPr>
          <w:lang w:eastAsia="en-AU"/>
        </w:rPr>
        <w:t>motor vehicles</w:t>
      </w:r>
      <w:r w:rsidR="00FF34E6">
        <w:rPr>
          <w:lang w:eastAsia="en-AU"/>
        </w:rPr>
        <w:t xml:space="preserve"> in Melbourne in 2015 to be </w:t>
      </w:r>
      <w:r w:rsidR="003D5036">
        <w:rPr>
          <w:lang w:eastAsia="en-AU"/>
        </w:rPr>
        <w:t xml:space="preserve">approximately $730 million (in 2018 prices). </w:t>
      </w:r>
      <w:r w:rsidR="008B055D">
        <w:rPr>
          <w:lang w:eastAsia="en-AU"/>
        </w:rPr>
        <w:t xml:space="preserve">This is the only study </w:t>
      </w:r>
      <w:r w:rsidR="006C5B83">
        <w:rPr>
          <w:lang w:eastAsia="en-AU"/>
        </w:rPr>
        <w:t xml:space="preserve">from our literature review which has attempted to estimate total health costs from </w:t>
      </w:r>
      <w:r w:rsidR="000C51E3">
        <w:rPr>
          <w:lang w:eastAsia="en-AU"/>
        </w:rPr>
        <w:t>motor-vehicle use</w:t>
      </w:r>
      <w:r w:rsidR="006C5B83">
        <w:rPr>
          <w:lang w:eastAsia="en-AU"/>
        </w:rPr>
        <w:t xml:space="preserve"> relevant to Victoria.  </w:t>
      </w:r>
    </w:p>
    <w:p w14:paraId="4070BBB6" w14:textId="1296555D" w:rsidR="00DF4C4D" w:rsidRDefault="006C5B83" w:rsidP="00677677">
      <w:pPr>
        <w:pStyle w:val="BodyText"/>
        <w:rPr>
          <w:lang w:eastAsia="en-AU"/>
        </w:rPr>
      </w:pPr>
      <w:r>
        <w:rPr>
          <w:lang w:eastAsia="en-AU"/>
        </w:rPr>
        <w:t>Another study undertaken by the Bureau of Transport and Regional Economics (BTRE) in 2005</w:t>
      </w:r>
      <w:r>
        <w:rPr>
          <w:rStyle w:val="FootnoteReference"/>
          <w:lang w:eastAsia="en-AU"/>
        </w:rPr>
        <w:footnoteReference w:id="29"/>
      </w:r>
      <w:r>
        <w:rPr>
          <w:lang w:eastAsia="en-AU"/>
        </w:rPr>
        <w:t xml:space="preserve"> looked at the economic cost of health impacts of transport emissions in Australia</w:t>
      </w:r>
      <w:r w:rsidR="00B83E36">
        <w:rPr>
          <w:lang w:eastAsia="en-AU"/>
        </w:rPr>
        <w:t>. This study used</w:t>
      </w:r>
      <w:r w:rsidR="005A79C6">
        <w:rPr>
          <w:lang w:eastAsia="en-AU"/>
        </w:rPr>
        <w:t xml:space="preserve"> PM</w:t>
      </w:r>
      <w:r w:rsidR="005A79C6">
        <w:rPr>
          <w:vertAlign w:val="subscript"/>
          <w:lang w:eastAsia="en-AU"/>
        </w:rPr>
        <w:t>10</w:t>
      </w:r>
      <w:r w:rsidR="00DC691A">
        <w:rPr>
          <w:lang w:eastAsia="en-AU"/>
        </w:rPr>
        <w:t xml:space="preserve"> as </w:t>
      </w:r>
      <w:r w:rsidR="00B83E36">
        <w:rPr>
          <w:lang w:eastAsia="en-AU"/>
        </w:rPr>
        <w:t>a ‘surrogate pollutant’, aiming to capture the effects of all other pollutants</w:t>
      </w:r>
      <w:r>
        <w:rPr>
          <w:lang w:eastAsia="en-AU"/>
        </w:rPr>
        <w:t>.</w:t>
      </w:r>
      <w:r w:rsidR="0071082F">
        <w:rPr>
          <w:lang w:eastAsia="en-AU"/>
        </w:rPr>
        <w:t xml:space="preserve"> T</w:t>
      </w:r>
      <w:r w:rsidR="00893B0C">
        <w:rPr>
          <w:lang w:eastAsia="en-AU"/>
        </w:rPr>
        <w:t>his study</w:t>
      </w:r>
      <w:r w:rsidR="0071082F">
        <w:rPr>
          <w:lang w:eastAsia="en-AU"/>
        </w:rPr>
        <w:t xml:space="preserve"> </w:t>
      </w:r>
      <w:r w:rsidR="00893B0C">
        <w:rPr>
          <w:lang w:eastAsia="en-AU"/>
        </w:rPr>
        <w:t xml:space="preserve">estimated the combined </w:t>
      </w:r>
      <w:r w:rsidR="00E01CB4">
        <w:rPr>
          <w:lang w:eastAsia="en-AU"/>
        </w:rPr>
        <w:t xml:space="preserve">national </w:t>
      </w:r>
      <w:r w:rsidR="00893B0C">
        <w:rPr>
          <w:lang w:eastAsia="en-AU"/>
        </w:rPr>
        <w:t xml:space="preserve">cost of motor vehicle-related mortality and morbidity </w:t>
      </w:r>
      <w:r w:rsidR="00677677">
        <w:rPr>
          <w:lang w:eastAsia="en-AU"/>
        </w:rPr>
        <w:t xml:space="preserve">was between $1.6 billion and $3.8 billion (central estimate $2.7 billion) in 2000. </w:t>
      </w:r>
      <w:r w:rsidR="00893B0C">
        <w:rPr>
          <w:lang w:eastAsia="en-AU"/>
        </w:rPr>
        <w:t>Currently, Victoria has approximately 26 per cent of Australia’s car fleet</w:t>
      </w:r>
      <w:r w:rsidR="00893B0C">
        <w:rPr>
          <w:rStyle w:val="FootnoteReference"/>
          <w:lang w:eastAsia="en-AU"/>
        </w:rPr>
        <w:footnoteReference w:id="30"/>
      </w:r>
      <w:r w:rsidR="00893B0C">
        <w:rPr>
          <w:lang w:eastAsia="en-AU"/>
        </w:rPr>
        <w:t xml:space="preserve">. </w:t>
      </w:r>
      <w:r w:rsidR="000C51E3">
        <w:rPr>
          <w:lang w:eastAsia="en-AU"/>
        </w:rPr>
        <w:t>A</w:t>
      </w:r>
      <w:r w:rsidR="00893B0C">
        <w:rPr>
          <w:lang w:eastAsia="en-AU"/>
        </w:rPr>
        <w:t xml:space="preserve">djusting the </w:t>
      </w:r>
      <w:r w:rsidR="00C41969">
        <w:rPr>
          <w:lang w:eastAsia="en-AU"/>
        </w:rPr>
        <w:t xml:space="preserve">national </w:t>
      </w:r>
      <w:r w:rsidR="00893B0C">
        <w:rPr>
          <w:lang w:eastAsia="en-AU"/>
        </w:rPr>
        <w:t xml:space="preserve">BTRE </w:t>
      </w:r>
      <w:r w:rsidR="000219D8">
        <w:rPr>
          <w:lang w:eastAsia="en-AU"/>
        </w:rPr>
        <w:t xml:space="preserve">(2005) </w:t>
      </w:r>
      <w:r w:rsidR="00E74462">
        <w:rPr>
          <w:lang w:eastAsia="en-AU"/>
        </w:rPr>
        <w:t>estimate</w:t>
      </w:r>
      <w:r w:rsidR="00893B0C">
        <w:rPr>
          <w:lang w:eastAsia="en-AU"/>
        </w:rPr>
        <w:t xml:space="preserve"> for 2018 prices and </w:t>
      </w:r>
      <w:r w:rsidR="00E74462">
        <w:rPr>
          <w:lang w:eastAsia="en-AU"/>
        </w:rPr>
        <w:t xml:space="preserve">proportioning the value </w:t>
      </w:r>
      <w:r w:rsidR="004F5553">
        <w:rPr>
          <w:lang w:eastAsia="en-AU"/>
        </w:rPr>
        <w:t>in line with the number of</w:t>
      </w:r>
      <w:r w:rsidR="00E74462">
        <w:rPr>
          <w:lang w:eastAsia="en-AU"/>
        </w:rPr>
        <w:t xml:space="preserve"> Vi</w:t>
      </w:r>
      <w:r w:rsidR="00677677">
        <w:rPr>
          <w:lang w:eastAsia="en-AU"/>
        </w:rPr>
        <w:t xml:space="preserve">ctorian vehicles, </w:t>
      </w:r>
      <w:r w:rsidR="007D3474">
        <w:rPr>
          <w:lang w:eastAsia="en-AU"/>
        </w:rPr>
        <w:t xml:space="preserve">provides </w:t>
      </w:r>
      <w:r w:rsidR="00677677">
        <w:rPr>
          <w:lang w:eastAsia="en-AU"/>
        </w:rPr>
        <w:t>an estimated range of between $660 million and $1.5 billion (central estimate $1.1 billion)</w:t>
      </w:r>
      <w:r w:rsidR="005770D5">
        <w:rPr>
          <w:lang w:eastAsia="en-AU"/>
        </w:rPr>
        <w:t xml:space="preserve">. </w:t>
      </w:r>
      <w:r w:rsidR="00DF4C4D">
        <w:rPr>
          <w:lang w:eastAsia="en-AU"/>
        </w:rPr>
        <w:t xml:space="preserve">This </w:t>
      </w:r>
      <w:r w:rsidR="004F5553">
        <w:rPr>
          <w:lang w:eastAsia="en-AU"/>
        </w:rPr>
        <w:t xml:space="preserve">is a simplified approach providing an indicative estimate only, as it ignores other relevant factors </w:t>
      </w:r>
      <w:r w:rsidR="009E29AB">
        <w:rPr>
          <w:lang w:eastAsia="en-AU"/>
        </w:rPr>
        <w:t>such as road use</w:t>
      </w:r>
      <w:r w:rsidR="006C758D">
        <w:rPr>
          <w:lang w:eastAsia="en-AU"/>
        </w:rPr>
        <w:t xml:space="preserve">, </w:t>
      </w:r>
      <w:r w:rsidR="009E29AB">
        <w:rPr>
          <w:lang w:eastAsia="en-AU"/>
        </w:rPr>
        <w:t>densit</w:t>
      </w:r>
      <w:r w:rsidR="006C758D">
        <w:rPr>
          <w:lang w:eastAsia="en-AU"/>
        </w:rPr>
        <w:t xml:space="preserve">y, </w:t>
      </w:r>
      <w:r w:rsidR="00D62B57">
        <w:rPr>
          <w:lang w:eastAsia="en-AU"/>
        </w:rPr>
        <w:t xml:space="preserve">improved </w:t>
      </w:r>
      <w:r w:rsidR="006C758D">
        <w:rPr>
          <w:lang w:eastAsia="en-AU"/>
        </w:rPr>
        <w:t>vehicle emission standards and population growth</w:t>
      </w:r>
      <w:r w:rsidR="005E0257">
        <w:rPr>
          <w:lang w:eastAsia="en-AU"/>
        </w:rPr>
        <w:t xml:space="preserve">. </w:t>
      </w:r>
    </w:p>
    <w:p w14:paraId="4E8AAC30" w14:textId="2DA13923" w:rsidR="00501D1F" w:rsidRDefault="00EC58B4" w:rsidP="002963B7">
      <w:pPr>
        <w:pStyle w:val="BodyText"/>
        <w:spacing w:before="0"/>
        <w:rPr>
          <w:lang w:eastAsia="en-AU"/>
        </w:rPr>
      </w:pPr>
      <w:r>
        <w:rPr>
          <w:lang w:eastAsia="en-AU"/>
        </w:rPr>
        <w:t>The BTRE</w:t>
      </w:r>
      <w:r w:rsidR="000219D8">
        <w:rPr>
          <w:lang w:eastAsia="en-AU"/>
        </w:rPr>
        <w:t xml:space="preserve"> (2005)</w:t>
      </w:r>
      <w:r>
        <w:rPr>
          <w:lang w:eastAsia="en-AU"/>
        </w:rPr>
        <w:t xml:space="preserve"> study also estimated health costs of motor-vehicle related air pollution in Australian capital cities. For Melbourne, these estimates were between $615 million and $1.4 billion (central estimate $1 billion) in 2018 prices, producing a similar range to the</w:t>
      </w:r>
      <w:r w:rsidR="000F22DD">
        <w:rPr>
          <w:lang w:eastAsia="en-AU"/>
        </w:rPr>
        <w:t xml:space="preserve"> calculated</w:t>
      </w:r>
      <w:r>
        <w:rPr>
          <w:lang w:eastAsia="en-AU"/>
        </w:rPr>
        <w:t xml:space="preserve"> Victorian proportion of </w:t>
      </w:r>
      <w:r w:rsidR="000F22DD">
        <w:rPr>
          <w:lang w:eastAsia="en-AU"/>
        </w:rPr>
        <w:t xml:space="preserve">the </w:t>
      </w:r>
      <w:r>
        <w:rPr>
          <w:lang w:eastAsia="en-AU"/>
        </w:rPr>
        <w:t>Australian wide damage costs</w:t>
      </w:r>
      <w:r w:rsidR="000F22DD">
        <w:rPr>
          <w:lang w:eastAsia="en-AU"/>
        </w:rPr>
        <w:t xml:space="preserve"> reported in the study</w:t>
      </w:r>
      <w:r>
        <w:rPr>
          <w:lang w:eastAsia="en-AU"/>
        </w:rPr>
        <w:t>.</w:t>
      </w:r>
    </w:p>
    <w:p w14:paraId="4AC4A1A1" w14:textId="3E864A51" w:rsidR="00501D1F" w:rsidRDefault="00501D1F" w:rsidP="002963B7">
      <w:pPr>
        <w:pStyle w:val="Caption"/>
        <w:spacing w:before="0"/>
      </w:pPr>
      <w:r>
        <w:t xml:space="preserve">Table </w:t>
      </w:r>
      <w:r w:rsidR="00FB312A">
        <w:rPr>
          <w:noProof/>
        </w:rPr>
        <w:fldChar w:fldCharType="begin"/>
      </w:r>
      <w:r w:rsidR="00FB312A">
        <w:rPr>
          <w:noProof/>
        </w:rPr>
        <w:instrText xml:space="preserve"> SEQ Table \* ARABIC </w:instrText>
      </w:r>
      <w:r w:rsidR="00FB312A">
        <w:rPr>
          <w:noProof/>
        </w:rPr>
        <w:fldChar w:fldCharType="separate"/>
      </w:r>
      <w:r w:rsidR="00A82EA3">
        <w:rPr>
          <w:noProof/>
        </w:rPr>
        <w:t>3</w:t>
      </w:r>
      <w:r w:rsidR="00FB312A">
        <w:rPr>
          <w:noProof/>
        </w:rPr>
        <w:fldChar w:fldCharType="end"/>
      </w:r>
      <w:r>
        <w:t xml:space="preserve"> </w:t>
      </w:r>
      <w:r w:rsidRPr="00905D49">
        <w:t xml:space="preserve">Total health costs of </w:t>
      </w:r>
      <w:r>
        <w:t>transport</w:t>
      </w:r>
      <w:r w:rsidR="00D26981">
        <w:t xml:space="preserve"> sector </w:t>
      </w:r>
      <w:r w:rsidR="007274D8">
        <w:t>(AUD$2018)</w:t>
      </w:r>
    </w:p>
    <w:tbl>
      <w:tblPr>
        <w:tblStyle w:val="TableGrid"/>
        <w:tblW w:w="8015" w:type="dxa"/>
        <w:jc w:val="center"/>
        <w:tblLook w:val="04A0" w:firstRow="1" w:lastRow="0" w:firstColumn="1" w:lastColumn="0" w:noHBand="0" w:noVBand="1"/>
      </w:tblPr>
      <w:tblGrid>
        <w:gridCol w:w="1655"/>
        <w:gridCol w:w="1314"/>
        <w:gridCol w:w="1711"/>
        <w:gridCol w:w="1077"/>
        <w:gridCol w:w="2258"/>
      </w:tblGrid>
      <w:tr w:rsidR="00D26981" w14:paraId="44EBD504" w14:textId="77777777" w:rsidTr="00D26981">
        <w:trPr>
          <w:cnfStyle w:val="100000000000" w:firstRow="1" w:lastRow="0" w:firstColumn="0" w:lastColumn="0" w:oddVBand="0" w:evenVBand="0" w:oddHBand="0" w:evenHBand="0" w:firstRowFirstColumn="0" w:firstRowLastColumn="0" w:lastRowFirstColumn="0" w:lastRowLastColumn="0"/>
          <w:jc w:val="center"/>
        </w:trPr>
        <w:tc>
          <w:tcPr>
            <w:cnfStyle w:val="000000000100" w:firstRow="0" w:lastRow="0" w:firstColumn="0" w:lastColumn="0" w:oddVBand="0" w:evenVBand="0" w:oddHBand="0" w:evenHBand="0" w:firstRowFirstColumn="1" w:firstRowLastColumn="0" w:lastRowFirstColumn="0" w:lastRowLastColumn="0"/>
            <w:tcW w:w="1667" w:type="dxa"/>
          </w:tcPr>
          <w:p w14:paraId="7479759A" w14:textId="77777777" w:rsidR="00D26981" w:rsidRDefault="00D26981" w:rsidP="006D289D">
            <w:pPr>
              <w:pStyle w:val="BodyText"/>
              <w:keepNext/>
              <w:rPr>
                <w:lang w:eastAsia="en-AU"/>
              </w:rPr>
            </w:pPr>
            <w:r>
              <w:rPr>
                <w:lang w:eastAsia="en-AU"/>
              </w:rPr>
              <w:t>Source</w:t>
            </w:r>
          </w:p>
        </w:tc>
        <w:tc>
          <w:tcPr>
            <w:tcW w:w="1325" w:type="dxa"/>
          </w:tcPr>
          <w:p w14:paraId="72A18629" w14:textId="77777777" w:rsidR="00D26981" w:rsidRDefault="00D26981" w:rsidP="006D289D">
            <w:pPr>
              <w:pStyle w:val="BodyText"/>
              <w:keepNext/>
              <w:ind w:right="77"/>
              <w:cnfStyle w:val="100000000000" w:firstRow="1" w:lastRow="0" w:firstColumn="0" w:lastColumn="0" w:oddVBand="0" w:evenVBand="0" w:oddHBand="0" w:evenHBand="0" w:firstRowFirstColumn="0" w:firstRowLastColumn="0" w:lastRowFirstColumn="0" w:lastRowLastColumn="0"/>
              <w:rPr>
                <w:lang w:eastAsia="en-AU"/>
              </w:rPr>
            </w:pPr>
            <w:r>
              <w:rPr>
                <w:lang w:eastAsia="en-AU"/>
              </w:rPr>
              <w:t>Year of report</w:t>
            </w:r>
          </w:p>
        </w:tc>
        <w:tc>
          <w:tcPr>
            <w:tcW w:w="1722" w:type="dxa"/>
          </w:tcPr>
          <w:p w14:paraId="39A4BE6B" w14:textId="77777777" w:rsidR="00D26981" w:rsidRDefault="00D26981" w:rsidP="006D289D">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Pollutants covered</w:t>
            </w:r>
          </w:p>
        </w:tc>
        <w:tc>
          <w:tcPr>
            <w:tcW w:w="1018" w:type="dxa"/>
          </w:tcPr>
          <w:p w14:paraId="0029DB87" w14:textId="77777777" w:rsidR="00D26981" w:rsidRDefault="00D26981" w:rsidP="006D289D">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Scope</w:t>
            </w:r>
          </w:p>
        </w:tc>
        <w:tc>
          <w:tcPr>
            <w:tcW w:w="2283" w:type="dxa"/>
          </w:tcPr>
          <w:p w14:paraId="60D7768C" w14:textId="77777777" w:rsidR="00D26981" w:rsidRDefault="00D26981" w:rsidP="006D289D">
            <w:pPr>
              <w:pStyle w:val="BodyText"/>
              <w:keepNext/>
              <w:cnfStyle w:val="100000000000" w:firstRow="1" w:lastRow="0" w:firstColumn="0" w:lastColumn="0" w:oddVBand="0" w:evenVBand="0" w:oddHBand="0" w:evenHBand="0" w:firstRowFirstColumn="0" w:firstRowLastColumn="0" w:lastRowFirstColumn="0" w:lastRowLastColumn="0"/>
              <w:rPr>
                <w:lang w:eastAsia="en-AU"/>
              </w:rPr>
            </w:pPr>
            <w:r>
              <w:rPr>
                <w:lang w:eastAsia="en-AU"/>
              </w:rPr>
              <w:t xml:space="preserve">Total health cost </w:t>
            </w:r>
          </w:p>
        </w:tc>
      </w:tr>
      <w:tr w:rsidR="00D26981" w14:paraId="43280900" w14:textId="77777777" w:rsidTr="00D26981">
        <w:trPr>
          <w:jc w:val="center"/>
        </w:trPr>
        <w:tc>
          <w:tcPr>
            <w:tcW w:w="1667" w:type="dxa"/>
          </w:tcPr>
          <w:p w14:paraId="2657E1DB" w14:textId="4331659E" w:rsidR="00D26981" w:rsidRDefault="00D26981" w:rsidP="006D289D">
            <w:pPr>
              <w:pStyle w:val="BodyText"/>
              <w:keepNext/>
              <w:rPr>
                <w:lang w:eastAsia="en-AU"/>
              </w:rPr>
            </w:pPr>
            <w:r>
              <w:rPr>
                <w:lang w:eastAsia="en-AU"/>
              </w:rPr>
              <w:t>Marsden Jacobs &amp; PEL</w:t>
            </w:r>
          </w:p>
        </w:tc>
        <w:tc>
          <w:tcPr>
            <w:tcW w:w="1325" w:type="dxa"/>
          </w:tcPr>
          <w:p w14:paraId="1B4378F9" w14:textId="77777777" w:rsidR="00D26981" w:rsidRDefault="00D26981" w:rsidP="006D289D">
            <w:pPr>
              <w:pStyle w:val="BodyText"/>
              <w:keepNext/>
              <w:rPr>
                <w:lang w:eastAsia="en-AU"/>
              </w:rPr>
            </w:pPr>
            <w:r>
              <w:rPr>
                <w:lang w:eastAsia="en-AU"/>
              </w:rPr>
              <w:t>2016</w:t>
            </w:r>
          </w:p>
        </w:tc>
        <w:tc>
          <w:tcPr>
            <w:tcW w:w="1722" w:type="dxa"/>
          </w:tcPr>
          <w:p w14:paraId="0684ADC5" w14:textId="77777777" w:rsidR="00D26981" w:rsidRDefault="00D26981" w:rsidP="006D289D">
            <w:pPr>
              <w:pStyle w:val="BodyText"/>
              <w:keepNext/>
              <w:rPr>
                <w:vertAlign w:val="subscript"/>
                <w:lang w:eastAsia="en-AU"/>
              </w:rPr>
            </w:pPr>
            <w:r w:rsidRPr="000E407E">
              <w:rPr>
                <w:lang w:eastAsia="en-AU"/>
              </w:rPr>
              <w:t>SO2</w:t>
            </w:r>
            <w:r>
              <w:rPr>
                <w:lang w:eastAsia="en-AU"/>
              </w:rPr>
              <w:t xml:space="preserve">, </w:t>
            </w:r>
            <w:r w:rsidRPr="000E407E">
              <w:rPr>
                <w:lang w:eastAsia="en-AU"/>
              </w:rPr>
              <w:t>NOx</w:t>
            </w:r>
            <w:r>
              <w:rPr>
                <w:lang w:eastAsia="en-AU"/>
              </w:rPr>
              <w:t>, PM</w:t>
            </w:r>
            <w:r w:rsidRPr="000E407E">
              <w:rPr>
                <w:vertAlign w:val="subscript"/>
                <w:lang w:eastAsia="en-AU"/>
              </w:rPr>
              <w:t>2.5</w:t>
            </w:r>
          </w:p>
          <w:p w14:paraId="2B0B12B8" w14:textId="70D19739" w:rsidR="00D26981" w:rsidRPr="000E407E" w:rsidRDefault="00D26981" w:rsidP="006D289D">
            <w:pPr>
              <w:pStyle w:val="BodyText"/>
              <w:keepNext/>
              <w:rPr>
                <w:vertAlign w:val="subscript"/>
                <w:lang w:eastAsia="en-AU"/>
              </w:rPr>
            </w:pPr>
            <w:r>
              <w:rPr>
                <w:lang w:eastAsia="en-AU"/>
              </w:rPr>
              <w:t>CO, VOCS</w:t>
            </w:r>
          </w:p>
        </w:tc>
        <w:tc>
          <w:tcPr>
            <w:tcW w:w="1018" w:type="dxa"/>
          </w:tcPr>
          <w:p w14:paraId="5B868F86" w14:textId="0B053019" w:rsidR="00D26981" w:rsidRDefault="004939F6" w:rsidP="006D289D">
            <w:pPr>
              <w:pStyle w:val="BodyText"/>
              <w:keepNext/>
              <w:rPr>
                <w:lang w:eastAsia="en-AU"/>
              </w:rPr>
            </w:pPr>
            <w:r>
              <w:rPr>
                <w:lang w:eastAsia="en-AU"/>
              </w:rPr>
              <w:t>Melbourne</w:t>
            </w:r>
          </w:p>
        </w:tc>
        <w:tc>
          <w:tcPr>
            <w:tcW w:w="2283" w:type="dxa"/>
          </w:tcPr>
          <w:p w14:paraId="543CFFA4" w14:textId="77777777" w:rsidR="00D26981" w:rsidRDefault="00D26981" w:rsidP="006D289D">
            <w:pPr>
              <w:pStyle w:val="BodyText"/>
              <w:keepNext/>
              <w:rPr>
                <w:lang w:eastAsia="en-AU"/>
              </w:rPr>
            </w:pPr>
            <w:r>
              <w:rPr>
                <w:lang w:eastAsia="en-AU"/>
              </w:rPr>
              <w:t>$730 million</w:t>
            </w:r>
          </w:p>
        </w:tc>
      </w:tr>
      <w:tr w:rsidR="00D26981" w14:paraId="17FC5A89" w14:textId="77777777" w:rsidTr="00D26981">
        <w:trPr>
          <w:jc w:val="center"/>
        </w:trPr>
        <w:tc>
          <w:tcPr>
            <w:tcW w:w="1667" w:type="dxa"/>
          </w:tcPr>
          <w:p w14:paraId="71EE1758" w14:textId="1D19CEC1" w:rsidR="00D26981" w:rsidRDefault="00D26981" w:rsidP="006D289D">
            <w:pPr>
              <w:pStyle w:val="BodyText"/>
              <w:keepNext/>
              <w:rPr>
                <w:lang w:eastAsia="en-AU"/>
              </w:rPr>
            </w:pPr>
            <w:r>
              <w:rPr>
                <w:lang w:eastAsia="en-AU"/>
              </w:rPr>
              <w:t>BTRE</w:t>
            </w:r>
          </w:p>
        </w:tc>
        <w:tc>
          <w:tcPr>
            <w:tcW w:w="1325" w:type="dxa"/>
          </w:tcPr>
          <w:p w14:paraId="387721C4" w14:textId="77777777" w:rsidR="00D26981" w:rsidRDefault="00D26981" w:rsidP="006D289D">
            <w:pPr>
              <w:pStyle w:val="BodyText"/>
              <w:keepNext/>
              <w:rPr>
                <w:lang w:eastAsia="en-AU"/>
              </w:rPr>
            </w:pPr>
            <w:r>
              <w:rPr>
                <w:lang w:eastAsia="en-AU"/>
              </w:rPr>
              <w:t>2005</w:t>
            </w:r>
          </w:p>
        </w:tc>
        <w:tc>
          <w:tcPr>
            <w:tcW w:w="1722" w:type="dxa"/>
          </w:tcPr>
          <w:p w14:paraId="4D573943" w14:textId="77777777" w:rsidR="00D26981" w:rsidRDefault="00D26981" w:rsidP="006D289D">
            <w:pPr>
              <w:pStyle w:val="BodyText"/>
              <w:keepNext/>
              <w:rPr>
                <w:lang w:eastAsia="en-AU"/>
              </w:rPr>
            </w:pPr>
            <w:r>
              <w:rPr>
                <w:lang w:eastAsia="en-AU"/>
              </w:rPr>
              <w:t>PM</w:t>
            </w:r>
            <w:r w:rsidRPr="000D4A15">
              <w:rPr>
                <w:vertAlign w:val="subscript"/>
                <w:lang w:eastAsia="en-AU"/>
              </w:rPr>
              <w:t>10</w:t>
            </w:r>
          </w:p>
        </w:tc>
        <w:tc>
          <w:tcPr>
            <w:tcW w:w="1018" w:type="dxa"/>
          </w:tcPr>
          <w:p w14:paraId="263CB01C" w14:textId="77777777" w:rsidR="00D26981" w:rsidRDefault="00D26981" w:rsidP="006D289D">
            <w:pPr>
              <w:pStyle w:val="BodyText"/>
              <w:keepNext/>
              <w:rPr>
                <w:lang w:eastAsia="en-AU"/>
              </w:rPr>
            </w:pPr>
            <w:r>
              <w:rPr>
                <w:lang w:eastAsia="en-AU"/>
              </w:rPr>
              <w:t>Victoria</w:t>
            </w:r>
          </w:p>
        </w:tc>
        <w:tc>
          <w:tcPr>
            <w:tcW w:w="2283" w:type="dxa"/>
          </w:tcPr>
          <w:p w14:paraId="013CE3D0" w14:textId="77777777" w:rsidR="00D26981" w:rsidRDefault="00D26981" w:rsidP="006D289D">
            <w:pPr>
              <w:pStyle w:val="BodyText"/>
              <w:keepNext/>
              <w:rPr>
                <w:lang w:eastAsia="en-AU"/>
              </w:rPr>
            </w:pPr>
            <w:r>
              <w:rPr>
                <w:lang w:eastAsia="en-AU"/>
              </w:rPr>
              <w:t>$660 million - $1.5 billion</w:t>
            </w:r>
          </w:p>
        </w:tc>
      </w:tr>
      <w:tr w:rsidR="00D26981" w14:paraId="537E636F" w14:textId="77777777" w:rsidTr="00D26981">
        <w:trPr>
          <w:jc w:val="center"/>
        </w:trPr>
        <w:tc>
          <w:tcPr>
            <w:tcW w:w="1667" w:type="dxa"/>
          </w:tcPr>
          <w:p w14:paraId="472A078C" w14:textId="021D9031" w:rsidR="00D26981" w:rsidRDefault="00D26981" w:rsidP="006D289D">
            <w:pPr>
              <w:pStyle w:val="BodyText"/>
              <w:keepNext/>
              <w:rPr>
                <w:lang w:eastAsia="en-AU"/>
              </w:rPr>
            </w:pPr>
            <w:r>
              <w:rPr>
                <w:lang w:eastAsia="en-AU"/>
              </w:rPr>
              <w:t>BTRE</w:t>
            </w:r>
          </w:p>
        </w:tc>
        <w:tc>
          <w:tcPr>
            <w:tcW w:w="1325" w:type="dxa"/>
          </w:tcPr>
          <w:p w14:paraId="1B2CC226" w14:textId="77777777" w:rsidR="00D26981" w:rsidRDefault="00D26981" w:rsidP="006D289D">
            <w:pPr>
              <w:pStyle w:val="BodyText"/>
              <w:keepNext/>
              <w:rPr>
                <w:lang w:eastAsia="en-AU"/>
              </w:rPr>
            </w:pPr>
            <w:r>
              <w:rPr>
                <w:lang w:eastAsia="en-AU"/>
              </w:rPr>
              <w:t>2005</w:t>
            </w:r>
          </w:p>
        </w:tc>
        <w:tc>
          <w:tcPr>
            <w:tcW w:w="1722" w:type="dxa"/>
          </w:tcPr>
          <w:p w14:paraId="1F20FB28" w14:textId="77777777" w:rsidR="00D26981" w:rsidRDefault="00D26981" w:rsidP="006D289D">
            <w:pPr>
              <w:pStyle w:val="BodyText"/>
              <w:keepNext/>
              <w:rPr>
                <w:lang w:eastAsia="en-AU"/>
              </w:rPr>
            </w:pPr>
            <w:r>
              <w:rPr>
                <w:lang w:eastAsia="en-AU"/>
              </w:rPr>
              <w:t>PM</w:t>
            </w:r>
            <w:r w:rsidRPr="000D4A15">
              <w:rPr>
                <w:vertAlign w:val="subscript"/>
                <w:lang w:eastAsia="en-AU"/>
              </w:rPr>
              <w:t>10</w:t>
            </w:r>
          </w:p>
        </w:tc>
        <w:tc>
          <w:tcPr>
            <w:tcW w:w="1018" w:type="dxa"/>
          </w:tcPr>
          <w:p w14:paraId="4F4FEEB8" w14:textId="77777777" w:rsidR="00D26981" w:rsidRDefault="00D26981" w:rsidP="006D289D">
            <w:pPr>
              <w:pStyle w:val="BodyText"/>
              <w:keepNext/>
              <w:rPr>
                <w:lang w:eastAsia="en-AU"/>
              </w:rPr>
            </w:pPr>
            <w:r>
              <w:rPr>
                <w:lang w:eastAsia="en-AU"/>
              </w:rPr>
              <w:t>Melbourne</w:t>
            </w:r>
          </w:p>
        </w:tc>
        <w:tc>
          <w:tcPr>
            <w:tcW w:w="2283" w:type="dxa"/>
          </w:tcPr>
          <w:p w14:paraId="4885E3BB" w14:textId="77777777" w:rsidR="00D26981" w:rsidRDefault="00D26981" w:rsidP="006D289D">
            <w:pPr>
              <w:pStyle w:val="BodyText"/>
              <w:keepNext/>
              <w:rPr>
                <w:lang w:eastAsia="en-AU"/>
              </w:rPr>
            </w:pPr>
            <w:r>
              <w:rPr>
                <w:lang w:eastAsia="en-AU"/>
              </w:rPr>
              <w:t>$615 million - $1.4 billion</w:t>
            </w:r>
          </w:p>
        </w:tc>
      </w:tr>
    </w:tbl>
    <w:p w14:paraId="32B985BF" w14:textId="77777777" w:rsidR="00D23648" w:rsidRDefault="00D23648" w:rsidP="00D23648">
      <w:pPr>
        <w:pStyle w:val="Heading2"/>
      </w:pPr>
      <w:r>
        <w:t>Potential for avoided health costs</w:t>
      </w:r>
    </w:p>
    <w:p w14:paraId="6EBD2DE4" w14:textId="59386A14" w:rsidR="004F4575" w:rsidRDefault="00C172FC" w:rsidP="004123B8">
      <w:pPr>
        <w:pStyle w:val="BodyText"/>
        <w:rPr>
          <w:lang w:eastAsia="en-AU"/>
        </w:rPr>
      </w:pPr>
      <w:r>
        <w:rPr>
          <w:lang w:eastAsia="en-AU"/>
        </w:rPr>
        <w:t xml:space="preserve">It is well established that many </w:t>
      </w:r>
      <w:r w:rsidR="00837491">
        <w:rPr>
          <w:lang w:eastAsia="en-AU"/>
        </w:rPr>
        <w:t xml:space="preserve">abatement </w:t>
      </w:r>
      <w:r>
        <w:rPr>
          <w:lang w:eastAsia="en-AU"/>
        </w:rPr>
        <w:t xml:space="preserve">measures that reduce greenhouse gas emissions </w:t>
      </w:r>
      <w:r w:rsidR="00637A82">
        <w:rPr>
          <w:lang w:eastAsia="en-AU"/>
        </w:rPr>
        <w:t xml:space="preserve">will </w:t>
      </w:r>
      <w:r>
        <w:rPr>
          <w:lang w:eastAsia="en-AU"/>
        </w:rPr>
        <w:t>also re</w:t>
      </w:r>
      <w:r w:rsidR="00993E65">
        <w:rPr>
          <w:lang w:eastAsia="en-AU"/>
        </w:rPr>
        <w:t xml:space="preserve">duce </w:t>
      </w:r>
      <w:r>
        <w:rPr>
          <w:lang w:eastAsia="en-AU"/>
        </w:rPr>
        <w:t>air pollutants</w:t>
      </w:r>
      <w:r w:rsidR="007F2555">
        <w:rPr>
          <w:lang w:eastAsia="en-AU"/>
        </w:rPr>
        <w:t xml:space="preserve">, such as </w:t>
      </w:r>
      <w:r w:rsidR="007F2555" w:rsidRPr="00D27DB7">
        <w:t>SO</w:t>
      </w:r>
      <w:r w:rsidR="007F2555" w:rsidRPr="00D27DB7">
        <w:rPr>
          <w:vertAlign w:val="subscript"/>
        </w:rPr>
        <w:t>2</w:t>
      </w:r>
      <w:r w:rsidR="007F2555" w:rsidRPr="00D27DB7">
        <w:t>, NO</w:t>
      </w:r>
      <w:r w:rsidR="007F2555" w:rsidRPr="00D27DB7">
        <w:rPr>
          <w:vertAlign w:val="subscript"/>
        </w:rPr>
        <w:t>x</w:t>
      </w:r>
      <w:r w:rsidR="007F2555" w:rsidRPr="00D27DB7">
        <w:t>, PM</w:t>
      </w:r>
      <w:r w:rsidR="007F2555" w:rsidRPr="00D27DB7">
        <w:rPr>
          <w:vertAlign w:val="subscript"/>
        </w:rPr>
        <w:t xml:space="preserve">2.5 </w:t>
      </w:r>
      <w:r w:rsidR="007F2555" w:rsidRPr="00D27DB7">
        <w:t>and PM</w:t>
      </w:r>
      <w:r w:rsidR="007F2555" w:rsidRPr="00D27DB7">
        <w:rPr>
          <w:vertAlign w:val="subscript"/>
        </w:rPr>
        <w:t>10</w:t>
      </w:r>
      <w:r w:rsidR="00F065BD">
        <w:rPr>
          <w:lang w:eastAsia="en-AU"/>
        </w:rPr>
        <w:t>. For example,</w:t>
      </w:r>
      <w:r>
        <w:rPr>
          <w:lang w:eastAsia="en-AU"/>
        </w:rPr>
        <w:t xml:space="preserve"> </w:t>
      </w:r>
      <w:r w:rsidR="00F065BD">
        <w:t>a recent study from the United States found that regulations targeting power stations and vehicles were effective in reducing both GHG emissions and local air pollutants</w:t>
      </w:r>
      <w:r w:rsidR="00F065BD">
        <w:rPr>
          <w:rStyle w:val="FootnoteReference"/>
        </w:rPr>
        <w:footnoteReference w:id="31"/>
      </w:r>
      <w:r w:rsidR="00F065BD">
        <w:t>. It is also well established that measures that reduce both greenhouse gas emissions and air pollutants</w:t>
      </w:r>
      <w:r>
        <w:rPr>
          <w:lang w:eastAsia="en-AU"/>
        </w:rPr>
        <w:t xml:space="preserve"> can </w:t>
      </w:r>
      <w:r w:rsidR="00C26A67">
        <w:rPr>
          <w:lang w:eastAsia="en-AU"/>
        </w:rPr>
        <w:t xml:space="preserve">generate </w:t>
      </w:r>
      <w:r w:rsidR="00F065BD">
        <w:rPr>
          <w:lang w:eastAsia="en-AU"/>
        </w:rPr>
        <w:t xml:space="preserve">significant </w:t>
      </w:r>
      <w:r>
        <w:rPr>
          <w:lang w:eastAsia="en-AU"/>
        </w:rPr>
        <w:t>health benefits</w:t>
      </w:r>
      <w:r w:rsidR="006C32F8">
        <w:rPr>
          <w:lang w:eastAsia="en-AU"/>
        </w:rPr>
        <w:t>.</w:t>
      </w:r>
      <w:r>
        <w:rPr>
          <w:lang w:eastAsia="en-AU"/>
        </w:rPr>
        <w:t xml:space="preserve"> </w:t>
      </w:r>
      <w:r w:rsidR="006C32F8">
        <w:rPr>
          <w:lang w:eastAsia="en-AU"/>
        </w:rPr>
        <w:t>F</w:t>
      </w:r>
      <w:r>
        <w:rPr>
          <w:lang w:eastAsia="en-AU"/>
        </w:rPr>
        <w:t>or example, the IPCC Special Report on 1.5</w:t>
      </w:r>
      <w:r w:rsidR="00F065BD">
        <w:rPr>
          <w:rFonts w:cstheme="minorHAnsi"/>
          <w:lang w:eastAsia="en-AU"/>
        </w:rPr>
        <w:t>°</w:t>
      </w:r>
      <w:r>
        <w:rPr>
          <w:lang w:eastAsia="en-AU"/>
        </w:rPr>
        <w:t>C notes that for all the global greenhouse gas emissions reduction pathways it modelled to limit warming to 1.5</w:t>
      </w:r>
      <w:r w:rsidR="00F065BD">
        <w:rPr>
          <w:rFonts w:cstheme="minorHAnsi"/>
          <w:lang w:eastAsia="en-AU"/>
        </w:rPr>
        <w:t>°</w:t>
      </w:r>
      <w:r>
        <w:rPr>
          <w:lang w:eastAsia="en-AU"/>
        </w:rPr>
        <w:t xml:space="preserve">C above pre-industrial levels, the improved air quality resulting from projected reductions in many </w:t>
      </w:r>
      <w:r w:rsidR="00837491">
        <w:rPr>
          <w:lang w:eastAsia="en-AU"/>
        </w:rPr>
        <w:t>air pollutants</w:t>
      </w:r>
      <w:r>
        <w:rPr>
          <w:lang w:eastAsia="en-AU"/>
        </w:rPr>
        <w:t xml:space="preserve"> would provide direct and immediate population health benefits</w:t>
      </w:r>
      <w:r>
        <w:rPr>
          <w:rStyle w:val="FootnoteReference"/>
          <w:lang w:eastAsia="en-AU"/>
        </w:rPr>
        <w:footnoteReference w:id="32"/>
      </w:r>
      <w:r w:rsidR="006C32F8">
        <w:rPr>
          <w:lang w:eastAsia="en-AU"/>
        </w:rPr>
        <w:t>;</w:t>
      </w:r>
      <w:r w:rsidR="00F065BD">
        <w:rPr>
          <w:lang w:eastAsia="en-AU"/>
        </w:rPr>
        <w:t xml:space="preserve"> and the World Health Organisation’s </w:t>
      </w:r>
      <w:r w:rsidR="00363313">
        <w:rPr>
          <w:lang w:eastAsia="en-AU"/>
        </w:rPr>
        <w:t xml:space="preserve">COP24 </w:t>
      </w:r>
      <w:r w:rsidR="00F065BD">
        <w:rPr>
          <w:lang w:eastAsia="en-AU"/>
        </w:rPr>
        <w:t>Special Report on Health and Climate Change finds that achieving the Paris Agreement to limit global warming to well below 2</w:t>
      </w:r>
      <w:r w:rsidR="00F065BD">
        <w:rPr>
          <w:rFonts w:cstheme="minorHAnsi"/>
          <w:lang w:eastAsia="en-AU"/>
        </w:rPr>
        <w:t>°</w:t>
      </w:r>
      <w:r w:rsidR="00F065BD">
        <w:rPr>
          <w:lang w:eastAsia="en-AU"/>
        </w:rPr>
        <w:t>C above pre-industrial levels could save about one million lives worldwide every year by 2050 through reductions in air pollution alone</w:t>
      </w:r>
      <w:r w:rsidR="00363313">
        <w:rPr>
          <w:rStyle w:val="FootnoteReference"/>
          <w:lang w:eastAsia="en-AU"/>
        </w:rPr>
        <w:footnoteReference w:id="33"/>
      </w:r>
      <w:r w:rsidR="004F4575">
        <w:rPr>
          <w:lang w:eastAsia="en-AU"/>
        </w:rPr>
        <w:t>.</w:t>
      </w:r>
    </w:p>
    <w:p w14:paraId="124CC3DC" w14:textId="085E52F4" w:rsidR="004123B8" w:rsidRDefault="004F4575" w:rsidP="004123B8">
      <w:pPr>
        <w:pStyle w:val="BodyText"/>
        <w:rPr>
          <w:lang w:eastAsia="en-AU"/>
        </w:rPr>
      </w:pPr>
      <w:r>
        <w:t>It follows that as Victoria’s GHG emissions in the electricity generation and transport sectors are reduced, w</w:t>
      </w:r>
      <w:r w:rsidR="00200347">
        <w:t xml:space="preserve">e can expect to see large reductions in </w:t>
      </w:r>
      <w:r w:rsidR="00393F5F">
        <w:t>ambient (or outdoor) pollutants that may also cause localised air pollution</w:t>
      </w:r>
      <w:r>
        <w:t>, and significant health benefits as a result</w:t>
      </w:r>
      <w:r w:rsidR="00200347">
        <w:t xml:space="preserve">. </w:t>
      </w:r>
      <w:r w:rsidR="00C172FC">
        <w:rPr>
          <w:lang w:eastAsia="en-AU"/>
        </w:rPr>
        <w:t>Therefore, i</w:t>
      </w:r>
      <w:r w:rsidR="006A53C0">
        <w:rPr>
          <w:lang w:eastAsia="en-AU"/>
        </w:rPr>
        <w:t xml:space="preserve">n addition to estimating the total </w:t>
      </w:r>
      <w:r>
        <w:rPr>
          <w:lang w:eastAsia="en-AU"/>
        </w:rPr>
        <w:t xml:space="preserve">current </w:t>
      </w:r>
      <w:r w:rsidR="006A53C0">
        <w:rPr>
          <w:lang w:eastAsia="en-AU"/>
        </w:rPr>
        <w:t>health cost of air</w:t>
      </w:r>
      <w:r>
        <w:rPr>
          <w:lang w:eastAsia="en-AU"/>
        </w:rPr>
        <w:t xml:space="preserve"> poll</w:t>
      </w:r>
      <w:r w:rsidR="006A53C0">
        <w:rPr>
          <w:lang w:eastAsia="en-AU"/>
        </w:rPr>
        <w:t xml:space="preserve">utants, it is also of value to consider the potential for avoided health costs under </w:t>
      </w:r>
      <w:r w:rsidR="007D3474">
        <w:rPr>
          <w:lang w:eastAsia="en-AU"/>
        </w:rPr>
        <w:t xml:space="preserve">potential </w:t>
      </w:r>
      <w:r w:rsidR="006A53C0">
        <w:rPr>
          <w:lang w:eastAsia="en-AU"/>
        </w:rPr>
        <w:t xml:space="preserve">future </w:t>
      </w:r>
      <w:r w:rsidR="00F963E0">
        <w:rPr>
          <w:lang w:eastAsia="en-AU"/>
        </w:rPr>
        <w:t xml:space="preserve">GHG emissions abatement </w:t>
      </w:r>
      <w:r w:rsidR="0052531B">
        <w:rPr>
          <w:lang w:eastAsia="en-AU"/>
        </w:rPr>
        <w:t>actions</w:t>
      </w:r>
      <w:r w:rsidR="00C172FC">
        <w:rPr>
          <w:lang w:eastAsia="en-AU"/>
        </w:rPr>
        <w:t xml:space="preserve"> in Victoria</w:t>
      </w:r>
      <w:r w:rsidR="006A53C0">
        <w:rPr>
          <w:lang w:eastAsia="en-AU"/>
        </w:rPr>
        <w:t xml:space="preserve">. </w:t>
      </w:r>
    </w:p>
    <w:p w14:paraId="43E5DA86" w14:textId="60EF46DC" w:rsidR="006F0EE4" w:rsidRDefault="00A43164">
      <w:pPr>
        <w:pStyle w:val="BodyText"/>
        <w:rPr>
          <w:lang w:eastAsia="en-AU"/>
        </w:rPr>
      </w:pPr>
      <w:r>
        <w:rPr>
          <w:lang w:eastAsia="en-AU"/>
        </w:rPr>
        <w:t>As an example</w:t>
      </w:r>
      <w:r w:rsidR="007C21C3">
        <w:rPr>
          <w:lang w:eastAsia="en-AU"/>
        </w:rPr>
        <w:t xml:space="preserve">, a </w:t>
      </w:r>
      <w:r w:rsidR="009B7815">
        <w:rPr>
          <w:lang w:eastAsia="en-AU"/>
        </w:rPr>
        <w:t>recent study undertaken by Aurecon for Infrastructure Victoria</w:t>
      </w:r>
      <w:r w:rsidR="009B7815">
        <w:rPr>
          <w:rStyle w:val="FootnoteReference"/>
          <w:lang w:eastAsia="en-AU"/>
        </w:rPr>
        <w:footnoteReference w:id="34"/>
      </w:r>
      <w:r w:rsidR="009B7815">
        <w:rPr>
          <w:lang w:eastAsia="en-AU"/>
        </w:rPr>
        <w:t xml:space="preserve"> </w:t>
      </w:r>
      <w:r w:rsidR="00AE6BC4">
        <w:rPr>
          <w:lang w:eastAsia="en-AU"/>
        </w:rPr>
        <w:t>provide</w:t>
      </w:r>
      <w:r w:rsidR="00376928">
        <w:rPr>
          <w:lang w:eastAsia="en-AU"/>
        </w:rPr>
        <w:t>d</w:t>
      </w:r>
      <w:r w:rsidR="00AE6BC4">
        <w:rPr>
          <w:lang w:eastAsia="en-AU"/>
        </w:rPr>
        <w:t xml:space="preserve"> advice on the population health and environmental impacts of Zero Emissions Vehicles (ZEV) and Autonomous Vehicles (AV) in Victoria over the next 30 years. The report found that a fleet comprised of ZEVs and AVs can be expected to substantially reduce adverse health </w:t>
      </w:r>
      <w:r w:rsidR="004F4575">
        <w:rPr>
          <w:lang w:eastAsia="en-AU"/>
        </w:rPr>
        <w:t>impacts</w:t>
      </w:r>
      <w:r w:rsidR="00AE6BC4">
        <w:rPr>
          <w:lang w:eastAsia="en-AU"/>
        </w:rPr>
        <w:t xml:space="preserve"> from exposure to harmful pollutants. Relative to a business as usual </w:t>
      </w:r>
      <w:r w:rsidR="00EA2D12">
        <w:rPr>
          <w:lang w:eastAsia="en-AU"/>
        </w:rPr>
        <w:t>scenario in</w:t>
      </w:r>
      <w:r w:rsidR="00AE6BC4">
        <w:rPr>
          <w:lang w:eastAsia="en-AU"/>
        </w:rPr>
        <w:t xml:space="preserve"> which petrol and diesel vehicles still make up</w:t>
      </w:r>
      <w:r w:rsidR="009A72B8">
        <w:rPr>
          <w:lang w:eastAsia="en-AU"/>
        </w:rPr>
        <w:t xml:space="preserve"> </w:t>
      </w:r>
      <w:proofErr w:type="gramStart"/>
      <w:r w:rsidR="009A72B8">
        <w:rPr>
          <w:lang w:eastAsia="en-AU"/>
        </w:rPr>
        <w:t>the</w:t>
      </w:r>
      <w:r w:rsidR="00AE6BC4">
        <w:rPr>
          <w:lang w:eastAsia="en-AU"/>
        </w:rPr>
        <w:t xml:space="preserve"> majority of</w:t>
      </w:r>
      <w:proofErr w:type="gramEnd"/>
      <w:r w:rsidR="00AE6BC4">
        <w:rPr>
          <w:lang w:eastAsia="en-AU"/>
        </w:rPr>
        <w:t xml:space="preserve"> the fleet in 2046, Aurecon </w:t>
      </w:r>
      <w:r w:rsidR="00A30AEE">
        <w:rPr>
          <w:lang w:eastAsia="en-AU"/>
        </w:rPr>
        <w:t>estimated</w:t>
      </w:r>
      <w:r w:rsidR="00AE6BC4">
        <w:rPr>
          <w:lang w:eastAsia="en-AU"/>
        </w:rPr>
        <w:t xml:space="preserve"> potential health benefit</w:t>
      </w:r>
      <w:r w:rsidR="000C7B22">
        <w:rPr>
          <w:lang w:eastAsia="en-AU"/>
        </w:rPr>
        <w:t>s</w:t>
      </w:r>
      <w:r w:rsidR="00AE6BC4">
        <w:rPr>
          <w:lang w:eastAsia="en-AU"/>
        </w:rPr>
        <w:t xml:space="preserve"> </w:t>
      </w:r>
      <w:r w:rsidR="00A30AEE">
        <w:rPr>
          <w:lang w:eastAsia="en-AU"/>
        </w:rPr>
        <w:t>for different ‘fleet transformation’ scenarios to particular technologies, driving modes, ownership models, and occupancy models. These estimated</w:t>
      </w:r>
      <w:r w:rsidR="00AE6BC4">
        <w:rPr>
          <w:lang w:eastAsia="en-AU"/>
        </w:rPr>
        <w:t xml:space="preserve"> potential health benefits </w:t>
      </w:r>
      <w:r w:rsidR="000C7B22">
        <w:rPr>
          <w:lang w:eastAsia="en-AU"/>
        </w:rPr>
        <w:t>ran</w:t>
      </w:r>
      <w:r w:rsidR="00A30AEE">
        <w:rPr>
          <w:lang w:eastAsia="en-AU"/>
        </w:rPr>
        <w:t>ged</w:t>
      </w:r>
      <w:r w:rsidR="000C7B22">
        <w:rPr>
          <w:lang w:eastAsia="en-AU"/>
        </w:rPr>
        <w:t xml:space="preserve"> between $270 million and</w:t>
      </w:r>
      <w:r w:rsidR="00EA1F74">
        <w:rPr>
          <w:lang w:eastAsia="en-AU"/>
        </w:rPr>
        <w:t xml:space="preserve"> $735 million (2018 prices)</w:t>
      </w:r>
      <w:r w:rsidR="007B7FD9">
        <w:rPr>
          <w:lang w:eastAsia="en-AU"/>
        </w:rPr>
        <w:t xml:space="preserve"> in 2046</w:t>
      </w:r>
      <w:r w:rsidR="00EA1F74">
        <w:rPr>
          <w:lang w:eastAsia="en-AU"/>
        </w:rPr>
        <w:t>.</w:t>
      </w:r>
      <w:bookmarkStart w:id="2" w:name="Here"/>
      <w:bookmarkEnd w:id="2"/>
    </w:p>
    <w:p w14:paraId="2DFFAEF7" w14:textId="010CF81A" w:rsidR="009063E2" w:rsidRDefault="009063E2" w:rsidP="04CAE562">
      <w:pPr>
        <w:pStyle w:val="BodyText"/>
        <w:rPr>
          <w:lang w:eastAsia="en-AU"/>
        </w:rPr>
      </w:pPr>
      <w:r>
        <w:rPr>
          <w:lang w:eastAsia="en-AU"/>
        </w:rPr>
        <w:t>The Aurecon study notes a few limitations. The study relies heavily on transport modelling of vehicle activity in the selected scenarios, but no verification of the transport modelling was</w:t>
      </w:r>
      <w:r w:rsidR="00EB73AE">
        <w:rPr>
          <w:lang w:eastAsia="en-AU"/>
        </w:rPr>
        <w:t xml:space="preserve"> undertaken. T</w:t>
      </w:r>
      <w:r>
        <w:rPr>
          <w:lang w:eastAsia="en-AU"/>
        </w:rPr>
        <w:t xml:space="preserve">he scenarios </w:t>
      </w:r>
      <w:r w:rsidR="00EB73AE">
        <w:rPr>
          <w:lang w:eastAsia="en-AU"/>
        </w:rPr>
        <w:t xml:space="preserve">explored </w:t>
      </w:r>
      <w:r>
        <w:rPr>
          <w:lang w:eastAsia="en-AU"/>
        </w:rPr>
        <w:t>are not necessarily forecasts of the likely Victorian fleet in 2046 –</w:t>
      </w:r>
      <w:r w:rsidR="00867476">
        <w:rPr>
          <w:lang w:eastAsia="en-AU"/>
        </w:rPr>
        <w:t xml:space="preserve"> </w:t>
      </w:r>
      <w:r>
        <w:rPr>
          <w:lang w:eastAsia="en-AU"/>
        </w:rPr>
        <w:t xml:space="preserve">they are hypothetical outcomes for fleet transformation </w:t>
      </w:r>
      <w:r w:rsidR="00EB73AE">
        <w:rPr>
          <w:lang w:eastAsia="en-AU"/>
        </w:rPr>
        <w:t>to</w:t>
      </w:r>
      <w:r>
        <w:rPr>
          <w:lang w:eastAsia="en-AU"/>
        </w:rPr>
        <w:t xml:space="preserve"> ZEVs and AVs in Victoria. </w:t>
      </w:r>
      <w:r w:rsidR="00EB73AE">
        <w:rPr>
          <w:lang w:eastAsia="en-AU"/>
        </w:rPr>
        <w:t xml:space="preserve">Additionally, </w:t>
      </w:r>
      <w:r w:rsidR="00464C6E">
        <w:rPr>
          <w:lang w:eastAsia="en-AU"/>
        </w:rPr>
        <w:t xml:space="preserve">the estimates in this study were based on there being no threshold for the impacts of </w:t>
      </w:r>
      <w:r w:rsidR="00B802B8">
        <w:rPr>
          <w:lang w:eastAsia="en-AU"/>
        </w:rPr>
        <w:t xml:space="preserve">exposure to </w:t>
      </w:r>
      <w:r w:rsidR="00EB73AE">
        <w:rPr>
          <w:lang w:eastAsia="en-AU"/>
        </w:rPr>
        <w:t>NO</w:t>
      </w:r>
      <w:r w:rsidR="00EB73AE">
        <w:rPr>
          <w:vertAlign w:val="subscript"/>
          <w:lang w:eastAsia="en-AU"/>
        </w:rPr>
        <w:t>x</w:t>
      </w:r>
      <w:r w:rsidR="007A4B0A">
        <w:rPr>
          <w:lang w:eastAsia="en-AU"/>
        </w:rPr>
        <w:t xml:space="preserve">. There is a lot of uncertainty regarding this assumption, and it may mean the health impacts are </w:t>
      </w:r>
      <w:r w:rsidR="001E38C8">
        <w:rPr>
          <w:lang w:eastAsia="en-AU"/>
        </w:rPr>
        <w:t xml:space="preserve">either under estimated or </w:t>
      </w:r>
      <w:r w:rsidR="007A4B0A">
        <w:rPr>
          <w:lang w:eastAsia="en-AU"/>
        </w:rPr>
        <w:t>overstated.</w:t>
      </w:r>
    </w:p>
    <w:p w14:paraId="63381446" w14:textId="77777777" w:rsidR="00FF5454" w:rsidRDefault="00FF5454" w:rsidP="000B45BD">
      <w:pPr>
        <w:pStyle w:val="Heading3"/>
        <w:numPr>
          <w:ilvl w:val="0"/>
          <w:numId w:val="0"/>
        </w:numPr>
      </w:pPr>
      <w:r>
        <w:t>Prepared by:</w:t>
      </w:r>
    </w:p>
    <w:p w14:paraId="408B65BD" w14:textId="2BA498A4" w:rsidR="00337692" w:rsidRDefault="00FF5454" w:rsidP="00FF5454">
      <w:pPr>
        <w:pStyle w:val="BodyText"/>
      </w:pPr>
      <w:r>
        <w:rPr>
          <w:lang w:eastAsia="en-AU"/>
        </w:rPr>
        <w:t>Louise Prosso</w:t>
      </w:r>
      <w:r>
        <w:t>r</w:t>
      </w:r>
      <w:r w:rsidR="00FE309E">
        <w:t xml:space="preserve"> – </w:t>
      </w:r>
      <w:r w:rsidR="00726AE5">
        <w:t>Economist, Department of Environment, Land, Water and Planning</w:t>
      </w:r>
      <w:r w:rsidR="00FE309E">
        <w:t xml:space="preserve"> </w:t>
      </w:r>
      <w:r w:rsidR="00B57234">
        <w:br/>
      </w:r>
    </w:p>
    <w:p w14:paraId="3261EB67" w14:textId="77777777" w:rsidR="00337692" w:rsidRDefault="00337692" w:rsidP="00EC28C7">
      <w:pPr>
        <w:pStyle w:val="Heading3"/>
      </w:pPr>
      <w:r w:rsidRPr="00EC28C7">
        <w:t>Reviewed by</w:t>
      </w:r>
      <w:r>
        <w:t>:</w:t>
      </w:r>
    </w:p>
    <w:p w14:paraId="73D18EE1" w14:textId="34575EC8" w:rsidR="00337692" w:rsidRPr="00EC28C7" w:rsidRDefault="00337692" w:rsidP="00EC28C7">
      <w:pPr>
        <w:pStyle w:val="BodyText"/>
      </w:pPr>
      <w:r w:rsidRPr="00EC28C7">
        <w:t>Helen Betts O’Shea, Manager Economics, Department of Environment, Land, Water and Planning</w:t>
      </w:r>
    </w:p>
    <w:p w14:paraId="73E7CF13" w14:textId="77777777" w:rsidR="00A15DFA" w:rsidRDefault="00A15DFA" w:rsidP="00EC28C7">
      <w:pPr>
        <w:pStyle w:val="BodyText"/>
      </w:pPr>
      <w:r>
        <w:t>Kyle Garland, Team Leader – Air Quality, Department of Environment, Land, Water and Planning</w:t>
      </w:r>
      <w:r w:rsidRPr="00EC28C7">
        <w:t xml:space="preserve"> </w:t>
      </w:r>
    </w:p>
    <w:p w14:paraId="2A4110EF" w14:textId="69476B2F" w:rsidR="00337692" w:rsidRPr="00EC28C7" w:rsidRDefault="00337692" w:rsidP="00EC28C7">
      <w:pPr>
        <w:pStyle w:val="BodyText"/>
      </w:pPr>
      <w:r w:rsidRPr="00EC28C7">
        <w:t>Martine Dennekamp, Senior Epidemiologist, Environment Protection Authority</w:t>
      </w:r>
    </w:p>
    <w:p w14:paraId="01D7F8BC" w14:textId="700518D3" w:rsidR="00337692" w:rsidRPr="00EC28C7" w:rsidRDefault="00337692" w:rsidP="00EC28C7">
      <w:pPr>
        <w:pStyle w:val="BodyText"/>
      </w:pPr>
      <w:r w:rsidRPr="00EC28C7">
        <w:t xml:space="preserve">Melanie Middleton, </w:t>
      </w:r>
      <w:r w:rsidR="007B633F">
        <w:t xml:space="preserve">Senior Air Policy Officer, </w:t>
      </w:r>
      <w:r w:rsidRPr="00EC28C7">
        <w:t>Environment Protection Authority</w:t>
      </w:r>
    </w:p>
    <w:p w14:paraId="735FBB4D" w14:textId="77777777" w:rsidR="00A11D08" w:rsidRDefault="00337692" w:rsidP="00FF5454">
      <w:pPr>
        <w:pStyle w:val="BodyText"/>
      </w:pPr>
      <w:r w:rsidRPr="00EC28C7">
        <w:t>Jonathan See, Policy Officer, Environment Protection Authority</w:t>
      </w:r>
    </w:p>
    <w:p w14:paraId="275DC8AA" w14:textId="3FB4785A" w:rsidR="00136A4D" w:rsidRPr="00EC28C7" w:rsidRDefault="00136A4D" w:rsidP="00FF5454">
      <w:pPr>
        <w:pStyle w:val="BodyText"/>
        <w:rPr>
          <w:b/>
        </w:rPr>
      </w:pPr>
      <w:r w:rsidRPr="00EC28C7">
        <w:rPr>
          <w:b/>
        </w:rPr>
        <w:br w:type="page"/>
      </w:r>
    </w:p>
    <w:p w14:paraId="53E7F766" w14:textId="77777777" w:rsidR="00DD204C" w:rsidRDefault="00DD204C" w:rsidP="00DD204C">
      <w:pPr>
        <w:pStyle w:val="Heading2"/>
      </w:pPr>
      <w:r>
        <w:t>References</w:t>
      </w:r>
    </w:p>
    <w:p w14:paraId="050AF580" w14:textId="77777777" w:rsidR="00136A4D" w:rsidRDefault="00136A4D" w:rsidP="00136A4D">
      <w:pPr>
        <w:pStyle w:val="BodyText"/>
        <w:rPr>
          <w:lang w:eastAsia="en-AU"/>
        </w:rPr>
      </w:pPr>
      <w:r>
        <w:rPr>
          <w:lang w:eastAsia="en-AU"/>
        </w:rPr>
        <w:t xml:space="preserve">Aurecon (2018). </w:t>
      </w:r>
      <w:r w:rsidRPr="00C2273F">
        <w:rPr>
          <w:i/>
          <w:lang w:eastAsia="en-AU"/>
        </w:rPr>
        <w:t>AV/ZEV Environmental &amp; Health Impact Assessment – Final report</w:t>
      </w:r>
      <w:r w:rsidRPr="00EC7A2A">
        <w:rPr>
          <w:lang w:eastAsia="en-AU"/>
        </w:rPr>
        <w:t xml:space="preserve"> – </w:t>
      </w:r>
      <w:r>
        <w:rPr>
          <w:lang w:eastAsia="en-AU"/>
        </w:rPr>
        <w:t>Prepared for Infrastructure Victoria.</w:t>
      </w:r>
    </w:p>
    <w:p w14:paraId="1078E321" w14:textId="77777777" w:rsidR="00136A4D" w:rsidRPr="00EC7A2A" w:rsidRDefault="00136A4D" w:rsidP="00136A4D">
      <w:pPr>
        <w:pStyle w:val="BodyText"/>
        <w:rPr>
          <w:lang w:eastAsia="en-AU"/>
        </w:rPr>
      </w:pPr>
      <w:r>
        <w:rPr>
          <w:lang w:eastAsia="en-AU"/>
        </w:rPr>
        <w:t xml:space="preserve">Australian Academy of Technological Sciences and Engineering (ATSE) (2009). </w:t>
      </w:r>
      <w:r w:rsidRPr="00C2273F">
        <w:rPr>
          <w:i/>
          <w:lang w:eastAsia="en-AU"/>
        </w:rPr>
        <w:t>The hidden costs of electricity: Externalities of power generation in Australia.</w:t>
      </w:r>
    </w:p>
    <w:p w14:paraId="08AE223D" w14:textId="77777777" w:rsidR="00136A4D" w:rsidRPr="00EC7A2A" w:rsidRDefault="00136A4D" w:rsidP="00136A4D">
      <w:pPr>
        <w:pStyle w:val="BodyText"/>
        <w:rPr>
          <w:lang w:eastAsia="en-AU"/>
        </w:rPr>
      </w:pPr>
      <w:r>
        <w:rPr>
          <w:lang w:eastAsia="en-AU"/>
        </w:rPr>
        <w:t xml:space="preserve">Australian Bureau of Statistics (2018) </w:t>
      </w:r>
      <w:r w:rsidRPr="00893B0C">
        <w:rPr>
          <w:lang w:eastAsia="en-AU"/>
        </w:rPr>
        <w:t>9309.0 - Motor Vehicle Census, Australia, 31 Jan 2018</w:t>
      </w:r>
      <w:r>
        <w:rPr>
          <w:lang w:eastAsia="en-AU"/>
        </w:rPr>
        <w:t>.</w:t>
      </w:r>
    </w:p>
    <w:p w14:paraId="1B6428F2" w14:textId="77777777" w:rsidR="00136A4D" w:rsidRPr="00EC7A2A" w:rsidRDefault="00136A4D" w:rsidP="00136A4D">
      <w:pPr>
        <w:pStyle w:val="BodyText"/>
        <w:rPr>
          <w:lang w:eastAsia="en-AU"/>
        </w:rPr>
      </w:pPr>
      <w:r>
        <w:rPr>
          <w:lang w:eastAsia="en-AU"/>
        </w:rPr>
        <w:t xml:space="preserve">Bureau of Transport and Regional Economics (2005). </w:t>
      </w:r>
      <w:r w:rsidRPr="00C2273F">
        <w:rPr>
          <w:i/>
          <w:lang w:eastAsia="en-AU"/>
        </w:rPr>
        <w:t>Health impacts of transport emissions in Australia: Economic costs.</w:t>
      </w:r>
    </w:p>
    <w:p w14:paraId="47FCB00A" w14:textId="774B1909" w:rsidR="00223611" w:rsidRDefault="00223611" w:rsidP="00C2273F">
      <w:pPr>
        <w:pStyle w:val="BodyText"/>
        <w:rPr>
          <w:lang w:eastAsia="en-AU"/>
        </w:rPr>
      </w:pPr>
      <w:r w:rsidRPr="00223611">
        <w:rPr>
          <w:lang w:eastAsia="en-AU"/>
        </w:rPr>
        <w:t>Dean</w:t>
      </w:r>
      <w:r w:rsidR="00C9190F">
        <w:rPr>
          <w:lang w:eastAsia="en-AU"/>
        </w:rPr>
        <w:t>, A.</w:t>
      </w:r>
      <w:r w:rsidRPr="00223611">
        <w:rPr>
          <w:lang w:eastAsia="en-AU"/>
        </w:rPr>
        <w:t xml:space="preserve"> &amp; Green</w:t>
      </w:r>
      <w:r w:rsidR="00C9190F">
        <w:rPr>
          <w:lang w:eastAsia="en-AU"/>
        </w:rPr>
        <w:t>, D.</w:t>
      </w:r>
      <w:r w:rsidRPr="00223611">
        <w:rPr>
          <w:lang w:eastAsia="en-AU"/>
        </w:rPr>
        <w:t xml:space="preserve"> (2018) </w:t>
      </w:r>
      <w:r w:rsidRPr="00C9190F">
        <w:rPr>
          <w:i/>
          <w:lang w:eastAsia="en-AU"/>
        </w:rPr>
        <w:t>Climate change, air pollution and human health in Sydney, Australia: A review of the literature</w:t>
      </w:r>
      <w:r w:rsidRPr="00223611">
        <w:rPr>
          <w:lang w:eastAsia="en-AU"/>
        </w:rPr>
        <w:t xml:space="preserve">. Environmental Research Letters, </w:t>
      </w:r>
      <w:r w:rsidR="00C9190F">
        <w:rPr>
          <w:lang w:eastAsia="en-AU"/>
        </w:rPr>
        <w:t xml:space="preserve">Volume </w:t>
      </w:r>
      <w:r w:rsidRPr="00223611">
        <w:rPr>
          <w:lang w:eastAsia="en-AU"/>
        </w:rPr>
        <w:t>13.</w:t>
      </w:r>
    </w:p>
    <w:p w14:paraId="170C5EBD" w14:textId="65B8FD5F" w:rsidR="00C23281" w:rsidRPr="00C23281" w:rsidRDefault="00C23281" w:rsidP="00C2273F">
      <w:pPr>
        <w:pStyle w:val="BodyText"/>
        <w:rPr>
          <w:i/>
          <w:lang w:eastAsia="en-AU"/>
        </w:rPr>
      </w:pPr>
      <w:r>
        <w:rPr>
          <w:lang w:eastAsia="en-AU"/>
        </w:rPr>
        <w:t xml:space="preserve">Department of Environment and Conservation NSW (2005). </w:t>
      </w:r>
      <w:r>
        <w:rPr>
          <w:i/>
          <w:lang w:eastAsia="en-AU"/>
        </w:rPr>
        <w:t xml:space="preserve">Air pollution economics – Health costs of air pollution in the Greater Sydney Metropolitan Region. </w:t>
      </w:r>
    </w:p>
    <w:p w14:paraId="0FD9E18A" w14:textId="47028D8A" w:rsidR="00136A4D" w:rsidRPr="00C2273F" w:rsidRDefault="00136A4D" w:rsidP="00C2273F">
      <w:pPr>
        <w:pStyle w:val="BodyText"/>
        <w:rPr>
          <w:i/>
          <w:lang w:eastAsia="en-AU"/>
        </w:rPr>
      </w:pPr>
      <w:r>
        <w:rPr>
          <w:lang w:eastAsia="en-AU"/>
        </w:rPr>
        <w:t xml:space="preserve">Environment Protection Authority Victoria (2018) </w:t>
      </w:r>
      <w:r w:rsidRPr="00C2273F">
        <w:rPr>
          <w:i/>
          <w:lang w:eastAsia="en-AU"/>
        </w:rPr>
        <w:t>Air Pollution in Victoria – A summary of the state of knowledge.</w:t>
      </w:r>
    </w:p>
    <w:p w14:paraId="0D4BB5A7" w14:textId="244A9178" w:rsidR="00136A4D" w:rsidRDefault="00136A4D" w:rsidP="00136A4D">
      <w:pPr>
        <w:pStyle w:val="BodyText"/>
        <w:rPr>
          <w:lang w:eastAsia="en-AU"/>
        </w:rPr>
      </w:pPr>
      <w:r>
        <w:rPr>
          <w:lang w:eastAsia="en-AU"/>
        </w:rPr>
        <w:t xml:space="preserve">Health Effects Institute (HEI) </w:t>
      </w:r>
      <w:r w:rsidR="00C2273F">
        <w:rPr>
          <w:lang w:eastAsia="en-AU"/>
        </w:rPr>
        <w:t>(</w:t>
      </w:r>
      <w:r>
        <w:rPr>
          <w:lang w:eastAsia="en-AU"/>
        </w:rPr>
        <w:t>2018</w:t>
      </w:r>
      <w:r w:rsidR="00C2273F">
        <w:rPr>
          <w:lang w:eastAsia="en-AU"/>
        </w:rPr>
        <w:t>)</w:t>
      </w:r>
      <w:r>
        <w:rPr>
          <w:lang w:eastAsia="en-AU"/>
        </w:rPr>
        <w:t xml:space="preserve"> </w:t>
      </w:r>
      <w:r w:rsidRPr="00C2273F">
        <w:rPr>
          <w:i/>
          <w:lang w:eastAsia="en-AU"/>
        </w:rPr>
        <w:t>Impacts of regulations on air quality and emergency department visits in the Atlanta metropolitan area, 1999–2013.</w:t>
      </w:r>
      <w:r>
        <w:rPr>
          <w:lang w:eastAsia="en-AU"/>
        </w:rPr>
        <w:t xml:space="preserve"> HEI Research Report 195. Boston, MA.</w:t>
      </w:r>
    </w:p>
    <w:p w14:paraId="7C5E7322" w14:textId="6C8FEE0C" w:rsidR="00EC28C7" w:rsidRPr="00EC28C7" w:rsidRDefault="00EC28C7" w:rsidP="00EC28C7">
      <w:pPr>
        <w:pStyle w:val="BodyText"/>
      </w:pPr>
      <w:r w:rsidRPr="00EC28C7">
        <w:t xml:space="preserve">Intergovernmental Panel on Climate Change (IPCC) (2018), </w:t>
      </w:r>
      <w:r w:rsidRPr="00C2273F">
        <w:rPr>
          <w:i/>
        </w:rPr>
        <w:t>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w:t>
      </w:r>
      <w:r w:rsidR="00C2273F">
        <w:t xml:space="preserve"> – </w:t>
      </w:r>
      <w:r w:rsidRPr="00C2273F">
        <w:rPr>
          <w:i/>
        </w:rPr>
        <w:t>Summary for Policymakers</w:t>
      </w:r>
      <w:r w:rsidR="00C2273F">
        <w:t>.</w:t>
      </w:r>
      <w:r w:rsidRPr="00EC28C7">
        <w:t xml:space="preserve"> October 2018, https://www.ipcc.ch/sr15/.</w:t>
      </w:r>
    </w:p>
    <w:p w14:paraId="2C848F73" w14:textId="77777777" w:rsidR="00136A4D" w:rsidRDefault="00136A4D" w:rsidP="00136A4D">
      <w:pPr>
        <w:pStyle w:val="BodyText"/>
        <w:rPr>
          <w:lang w:eastAsia="en-AU"/>
        </w:rPr>
      </w:pPr>
      <w:r>
        <w:rPr>
          <w:lang w:eastAsia="en-AU"/>
        </w:rPr>
        <w:t xml:space="preserve">Marsden Jacob &amp; Pacific Environment Limited (2016) </w:t>
      </w:r>
      <w:r w:rsidRPr="00C2273F">
        <w:rPr>
          <w:i/>
          <w:lang w:eastAsia="en-AU"/>
        </w:rPr>
        <w:t>Review of the Fuel Quality Standards Act 2000</w:t>
      </w:r>
      <w:r w:rsidRPr="00EC7A2A">
        <w:rPr>
          <w:lang w:eastAsia="en-AU"/>
        </w:rPr>
        <w:t xml:space="preserve"> </w:t>
      </w:r>
      <w:r>
        <w:rPr>
          <w:lang w:eastAsia="en-AU"/>
        </w:rPr>
        <w:t xml:space="preserve">– Prepared for the Department of </w:t>
      </w:r>
      <w:r w:rsidR="00986841">
        <w:rPr>
          <w:lang w:eastAsia="en-AU"/>
        </w:rPr>
        <w:t xml:space="preserve">the </w:t>
      </w:r>
      <w:r>
        <w:rPr>
          <w:lang w:eastAsia="en-AU"/>
        </w:rPr>
        <w:t>Environment.</w:t>
      </w:r>
    </w:p>
    <w:p w14:paraId="74800910" w14:textId="77777777" w:rsidR="00136A4D" w:rsidRPr="00C2273F" w:rsidRDefault="00136A4D" w:rsidP="00136A4D">
      <w:pPr>
        <w:pStyle w:val="BodyText"/>
        <w:rPr>
          <w:i/>
          <w:lang w:eastAsia="en-AU"/>
        </w:rPr>
      </w:pPr>
      <w:r>
        <w:rPr>
          <w:lang w:eastAsia="en-AU"/>
        </w:rPr>
        <w:t xml:space="preserve">National Academy of Sciences (2010) </w:t>
      </w:r>
      <w:r w:rsidRPr="00C2273F">
        <w:rPr>
          <w:i/>
          <w:lang w:eastAsia="en-AU"/>
        </w:rPr>
        <w:t xml:space="preserve">Hidden costs of energy: Unpriced consequences of energy production and use. </w:t>
      </w:r>
    </w:p>
    <w:p w14:paraId="6EE8A64B" w14:textId="4F35C723" w:rsidR="00136A4D" w:rsidRDefault="00136A4D" w:rsidP="00136A4D">
      <w:pPr>
        <w:pStyle w:val="BodyText"/>
        <w:rPr>
          <w:lang w:eastAsia="en-AU"/>
        </w:rPr>
      </w:pPr>
      <w:r w:rsidRPr="008B7D40">
        <w:rPr>
          <w:lang w:eastAsia="en-AU"/>
        </w:rPr>
        <w:t>N</w:t>
      </w:r>
      <w:r w:rsidR="00850B0B">
        <w:rPr>
          <w:lang w:eastAsia="en-AU"/>
        </w:rPr>
        <w:t xml:space="preserve">ational </w:t>
      </w:r>
      <w:r w:rsidRPr="008B7D40">
        <w:rPr>
          <w:lang w:eastAsia="en-AU"/>
        </w:rPr>
        <w:t>E</w:t>
      </w:r>
      <w:r w:rsidR="00850B0B">
        <w:rPr>
          <w:lang w:eastAsia="en-AU"/>
        </w:rPr>
        <w:t xml:space="preserve">lectricity </w:t>
      </w:r>
      <w:r w:rsidRPr="008B7D40">
        <w:rPr>
          <w:lang w:eastAsia="en-AU"/>
        </w:rPr>
        <w:t>M</w:t>
      </w:r>
      <w:r w:rsidR="00850B0B">
        <w:rPr>
          <w:lang w:eastAsia="en-AU"/>
        </w:rPr>
        <w:t>arket</w:t>
      </w:r>
      <w:r w:rsidRPr="008B7D40">
        <w:rPr>
          <w:lang w:eastAsia="en-AU"/>
        </w:rPr>
        <w:t xml:space="preserve"> Review, Metered generation (As generated), extracted 3 July 2018.</w:t>
      </w:r>
    </w:p>
    <w:p w14:paraId="6E407245" w14:textId="77777777" w:rsidR="00136A4D" w:rsidRDefault="00136A4D" w:rsidP="00136A4D">
      <w:pPr>
        <w:pStyle w:val="BodyText"/>
        <w:rPr>
          <w:lang w:eastAsia="en-AU"/>
        </w:rPr>
      </w:pPr>
      <w:r>
        <w:rPr>
          <w:lang w:eastAsia="en-AU"/>
        </w:rPr>
        <w:t xml:space="preserve">PAE Holmes (2013) </w:t>
      </w:r>
      <w:r w:rsidRPr="00C2273F">
        <w:rPr>
          <w:i/>
          <w:lang w:eastAsia="en-AU"/>
        </w:rPr>
        <w:t>Methodology for valuing the health impacts of changes in particle emissions – Final report</w:t>
      </w:r>
      <w:r w:rsidRPr="00EC7A2A">
        <w:rPr>
          <w:lang w:eastAsia="en-AU"/>
        </w:rPr>
        <w:t xml:space="preserve"> – </w:t>
      </w:r>
      <w:r>
        <w:rPr>
          <w:lang w:eastAsia="en-AU"/>
        </w:rPr>
        <w:t>prepared for NSW Environment Protection Authority.</w:t>
      </w:r>
    </w:p>
    <w:p w14:paraId="396CB7FA" w14:textId="77777777" w:rsidR="00136A4D" w:rsidRDefault="00136A4D" w:rsidP="00136A4D">
      <w:pPr>
        <w:pStyle w:val="BodyText"/>
        <w:rPr>
          <w:lang w:eastAsia="en-AU"/>
        </w:rPr>
      </w:pPr>
      <w:r>
        <w:rPr>
          <w:lang w:eastAsia="en-AU"/>
        </w:rPr>
        <w:t xml:space="preserve">Parry, I., Heine, D., Lis, E., &amp; Li, S. (2014) </w:t>
      </w:r>
      <w:r w:rsidRPr="00C2273F">
        <w:rPr>
          <w:i/>
          <w:lang w:eastAsia="en-AU"/>
        </w:rPr>
        <w:t>Getting energy prices right: From principle to practice</w:t>
      </w:r>
      <w:r w:rsidRPr="00EC7A2A">
        <w:rPr>
          <w:lang w:eastAsia="en-AU"/>
        </w:rPr>
        <w:t xml:space="preserve">. </w:t>
      </w:r>
      <w:r>
        <w:rPr>
          <w:lang w:eastAsia="en-AU"/>
        </w:rPr>
        <w:t>International Monetary Fund.</w:t>
      </w:r>
    </w:p>
    <w:p w14:paraId="1ADAD5DA" w14:textId="77777777" w:rsidR="00136A4D" w:rsidRPr="00EC7A2A" w:rsidRDefault="00136A4D" w:rsidP="00136A4D">
      <w:pPr>
        <w:pStyle w:val="BodyText"/>
        <w:rPr>
          <w:lang w:eastAsia="en-AU"/>
        </w:rPr>
      </w:pPr>
      <w:r w:rsidRPr="00D23648">
        <w:rPr>
          <w:lang w:eastAsia="en-AU"/>
        </w:rPr>
        <w:t xml:space="preserve">Victorian Government (2018) </w:t>
      </w:r>
      <w:r w:rsidRPr="00C2273F">
        <w:rPr>
          <w:i/>
          <w:lang w:eastAsia="en-AU"/>
        </w:rPr>
        <w:t>Victorian Greenhouse Gas Emissions Report</w:t>
      </w:r>
      <w:r w:rsidRPr="00EC7A2A">
        <w:rPr>
          <w:lang w:eastAsia="en-AU"/>
        </w:rPr>
        <w:t>.</w:t>
      </w:r>
    </w:p>
    <w:p w14:paraId="584AD27A" w14:textId="4DDFD418" w:rsidR="00136A4D" w:rsidRDefault="00136A4D" w:rsidP="00136A4D">
      <w:pPr>
        <w:pStyle w:val="BodyText"/>
        <w:rPr>
          <w:lang w:eastAsia="en-AU"/>
        </w:rPr>
      </w:pPr>
      <w:r>
        <w:rPr>
          <w:lang w:eastAsia="en-AU"/>
        </w:rPr>
        <w:t xml:space="preserve">Ward, J. &amp; Power, M. (2015). </w:t>
      </w:r>
      <w:r w:rsidRPr="00C2273F">
        <w:rPr>
          <w:i/>
          <w:lang w:eastAsia="en-AU"/>
        </w:rPr>
        <w:t>Cleaning up Victoria’s power sector: The full social cost of Hazelwood power station.</w:t>
      </w:r>
      <w:r w:rsidRPr="00EC7A2A">
        <w:rPr>
          <w:lang w:eastAsia="en-AU"/>
        </w:rPr>
        <w:t xml:space="preserve"> </w:t>
      </w:r>
      <w:r>
        <w:rPr>
          <w:lang w:eastAsia="en-AU"/>
        </w:rPr>
        <w:t>Harvard Kennedy School of Government.</w:t>
      </w:r>
    </w:p>
    <w:p w14:paraId="1ED87057" w14:textId="387012B0" w:rsidR="006E779D" w:rsidRDefault="006E779D" w:rsidP="00136A4D">
      <w:pPr>
        <w:pStyle w:val="BodyText"/>
        <w:rPr>
          <w:lang w:eastAsia="en-AU"/>
        </w:rPr>
      </w:pPr>
      <w:r>
        <w:t>West</w:t>
      </w:r>
      <w:r w:rsidR="00B264CD">
        <w:t xml:space="preserve">, </w:t>
      </w:r>
      <w:r w:rsidR="002D458C">
        <w:t xml:space="preserve">J., Smith, S., Silva, R., Naik, V., Zhang, Y., Adelman, Z., Fry, M., </w:t>
      </w:r>
      <w:proofErr w:type="spellStart"/>
      <w:r w:rsidR="002D458C">
        <w:t>Anenberg</w:t>
      </w:r>
      <w:proofErr w:type="spellEnd"/>
      <w:r w:rsidR="002D458C">
        <w:t xml:space="preserve">, S., Horowitz, L. &amp; </w:t>
      </w:r>
      <w:proofErr w:type="spellStart"/>
      <w:r w:rsidR="002D458C">
        <w:t>Lamarque</w:t>
      </w:r>
      <w:proofErr w:type="spellEnd"/>
      <w:r w:rsidR="002D458C">
        <w:t xml:space="preserve">, J. </w:t>
      </w:r>
      <w:r>
        <w:t xml:space="preserve">(2013) </w:t>
      </w:r>
      <w:r>
        <w:rPr>
          <w:i/>
        </w:rPr>
        <w:t xml:space="preserve">Co-benefits of mitigating global greenhouse gas emissions for future air quality and human health, </w:t>
      </w:r>
      <w:r>
        <w:t>Nature Climate Change 3, 885-889 (2013).</w:t>
      </w:r>
    </w:p>
    <w:p w14:paraId="78C0CCCD" w14:textId="77777777" w:rsidR="00566060" w:rsidRDefault="00566060" w:rsidP="00566060">
      <w:pPr>
        <w:pStyle w:val="BodyText"/>
        <w:rPr>
          <w:lang w:eastAsia="en-AU"/>
        </w:rPr>
      </w:pPr>
      <w:r w:rsidRPr="00FA5B76">
        <w:rPr>
          <w:lang w:eastAsia="en-AU"/>
        </w:rPr>
        <w:t xml:space="preserve">World Health Organisation (2012) </w:t>
      </w:r>
      <w:r w:rsidRPr="00C2273F">
        <w:rPr>
          <w:i/>
          <w:lang w:eastAsia="en-AU"/>
        </w:rPr>
        <w:t>Diesel engine exhaust carcinogenic, International Agency for Research on Cancer (IARC)</w:t>
      </w:r>
      <w:r w:rsidRPr="00FA5B76">
        <w:rPr>
          <w:lang w:eastAsia="en-AU"/>
        </w:rPr>
        <w:t>, Press Release No. 213.</w:t>
      </w:r>
    </w:p>
    <w:p w14:paraId="561EAE96" w14:textId="77777777" w:rsidR="00566060" w:rsidRDefault="00566060" w:rsidP="00136A4D">
      <w:pPr>
        <w:pStyle w:val="BodyText"/>
      </w:pPr>
      <w:r>
        <w:t xml:space="preserve">World Health Organisation (2014) </w:t>
      </w:r>
      <w:r>
        <w:rPr>
          <w:i/>
        </w:rPr>
        <w:t xml:space="preserve">WHO Expert Meeting: Methods and tools for assessing the health risks of air pollution at local, national and international level, </w:t>
      </w:r>
      <w:r>
        <w:t>Meeting report, Bonn, Germany, 12-13 May 2014.</w:t>
      </w:r>
    </w:p>
    <w:p w14:paraId="3BF7FCDB" w14:textId="5CE77278" w:rsidR="00067DAC" w:rsidRDefault="00136A4D" w:rsidP="00935D23">
      <w:pPr>
        <w:pStyle w:val="BodyText"/>
      </w:pPr>
      <w:r w:rsidRPr="00D23648">
        <w:rPr>
          <w:lang w:eastAsia="en-AU"/>
        </w:rPr>
        <w:t xml:space="preserve">World Health Organisation (2016) </w:t>
      </w:r>
      <w:r w:rsidRPr="00C2273F">
        <w:rPr>
          <w:i/>
          <w:lang w:eastAsia="en-AU"/>
        </w:rPr>
        <w:t>Ambient air pollution: A global assessment of exposure and burden of disease.</w:t>
      </w:r>
      <w:r w:rsidR="00067DAC">
        <w:br w:type="page"/>
      </w:r>
    </w:p>
    <w:p w14:paraId="33AC27BD" w14:textId="2BBB27D4" w:rsidR="00936816" w:rsidRDefault="00067DAC" w:rsidP="00D25FA0">
      <w:pPr>
        <w:pStyle w:val="Heading2"/>
      </w:pPr>
      <w:r>
        <w:t>Appendix A</w:t>
      </w:r>
    </w:p>
    <w:p w14:paraId="45F3BDA4" w14:textId="2A628B02" w:rsidR="00050531" w:rsidRPr="006869F7" w:rsidRDefault="00050531" w:rsidP="006869F7">
      <w:pPr>
        <w:pStyle w:val="Heading2"/>
      </w:pPr>
      <w:r>
        <w:t>Calculated total health costs for the electricity sector in Victoria</w:t>
      </w:r>
    </w:p>
    <w:p w14:paraId="61EE04AC" w14:textId="6A778BAE" w:rsidR="00173395" w:rsidRDefault="005D54E1" w:rsidP="004848E1">
      <w:pPr>
        <w:pStyle w:val="BodyText"/>
      </w:pPr>
      <w:r>
        <w:t xml:space="preserve">The damage costs of air pollutants from various independent studies are presented in Table A-1. These values are </w:t>
      </w:r>
      <w:r w:rsidR="007B6B4A">
        <w:t>reported in either</w:t>
      </w:r>
      <w:r>
        <w:t xml:space="preserve"> dollar per tonne of emissions,</w:t>
      </w:r>
      <w:r w:rsidR="007B6B4A">
        <w:t xml:space="preserve"> or per megawatt h</w:t>
      </w:r>
      <w:r>
        <w:t>our</w:t>
      </w:r>
      <w:r w:rsidR="0060732A">
        <w:t xml:space="preserve"> (MWh)</w:t>
      </w:r>
      <w:r>
        <w:t xml:space="preserve"> of power station generation.</w:t>
      </w:r>
    </w:p>
    <w:p w14:paraId="02A9E34D" w14:textId="13724688" w:rsidR="008A7C8A" w:rsidRDefault="00B3122E" w:rsidP="008A7C8A">
      <w:pPr>
        <w:pStyle w:val="Caption"/>
      </w:pPr>
      <w:r>
        <w:t>Table A-</w:t>
      </w:r>
      <w:r w:rsidR="00FB312A">
        <w:rPr>
          <w:noProof/>
        </w:rPr>
        <w:fldChar w:fldCharType="begin"/>
      </w:r>
      <w:r w:rsidR="00FB312A">
        <w:rPr>
          <w:noProof/>
        </w:rPr>
        <w:instrText xml:space="preserve"> SEQ Table_A- \* ARABIC </w:instrText>
      </w:r>
      <w:r w:rsidR="00FB312A">
        <w:rPr>
          <w:noProof/>
        </w:rPr>
        <w:fldChar w:fldCharType="separate"/>
      </w:r>
      <w:r w:rsidR="00A82EA3">
        <w:rPr>
          <w:noProof/>
        </w:rPr>
        <w:t>1</w:t>
      </w:r>
      <w:r w:rsidR="00FB312A">
        <w:rPr>
          <w:noProof/>
        </w:rPr>
        <w:fldChar w:fldCharType="end"/>
      </w:r>
      <w:r w:rsidR="008A7C8A">
        <w:t xml:space="preserve"> </w:t>
      </w:r>
      <w:r w:rsidR="008A7C8A" w:rsidRPr="006E5D51">
        <w:t>Damage costs ($2018)</w:t>
      </w:r>
    </w:p>
    <w:tbl>
      <w:tblPr>
        <w:tblStyle w:val="TableGrid"/>
        <w:tblW w:w="0" w:type="auto"/>
        <w:tblLook w:val="04A0" w:firstRow="1" w:lastRow="0" w:firstColumn="1" w:lastColumn="0" w:noHBand="0" w:noVBand="1"/>
      </w:tblPr>
      <w:tblGrid>
        <w:gridCol w:w="1275"/>
        <w:gridCol w:w="1702"/>
        <w:gridCol w:w="1418"/>
        <w:gridCol w:w="1273"/>
        <w:gridCol w:w="1269"/>
        <w:gridCol w:w="1267"/>
        <w:gridCol w:w="1278"/>
        <w:gridCol w:w="568"/>
      </w:tblGrid>
      <w:tr w:rsidR="0065733B" w14:paraId="26F824D5" w14:textId="77777777" w:rsidTr="0065733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275" w:type="dxa"/>
          </w:tcPr>
          <w:p w14:paraId="5A9375F8" w14:textId="14C0F605" w:rsidR="0065733B" w:rsidRDefault="0065733B" w:rsidP="00D25FA0">
            <w:pPr>
              <w:pStyle w:val="Heading3"/>
              <w:outlineLvl w:val="2"/>
              <w:rPr>
                <w:b w:val="0"/>
              </w:rPr>
            </w:pPr>
            <w:r>
              <w:rPr>
                <w:b w:val="0"/>
              </w:rPr>
              <w:t>Source</w:t>
            </w:r>
          </w:p>
        </w:tc>
        <w:tc>
          <w:tcPr>
            <w:tcW w:w="1702" w:type="dxa"/>
          </w:tcPr>
          <w:p w14:paraId="66219BC9" w14:textId="6BD681A3" w:rsidR="0065733B" w:rsidRDefault="0065733B" w:rsidP="00D25FA0">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Scope</w:t>
            </w:r>
          </w:p>
        </w:tc>
        <w:tc>
          <w:tcPr>
            <w:tcW w:w="1418" w:type="dxa"/>
          </w:tcPr>
          <w:p w14:paraId="32624F0E" w14:textId="033E30A9" w:rsidR="0065733B" w:rsidRDefault="0065733B" w:rsidP="00D25FA0">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Sector</w:t>
            </w:r>
          </w:p>
        </w:tc>
        <w:tc>
          <w:tcPr>
            <w:tcW w:w="1273" w:type="dxa"/>
          </w:tcPr>
          <w:p w14:paraId="007F882F" w14:textId="474A0562" w:rsidR="0065733B" w:rsidRDefault="0065733B" w:rsidP="00D25FA0">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SO</w:t>
            </w:r>
            <w:r w:rsidRPr="0065733B">
              <w:rPr>
                <w:b w:val="0"/>
                <w:vertAlign w:val="subscript"/>
              </w:rPr>
              <w:t>2</w:t>
            </w:r>
          </w:p>
        </w:tc>
        <w:tc>
          <w:tcPr>
            <w:tcW w:w="1269" w:type="dxa"/>
          </w:tcPr>
          <w:p w14:paraId="37981A1D" w14:textId="1804563A" w:rsidR="0065733B" w:rsidRDefault="0065733B" w:rsidP="00D25FA0">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NO</w:t>
            </w:r>
            <w:r w:rsidRPr="0065733B">
              <w:rPr>
                <w:b w:val="0"/>
                <w:vertAlign w:val="subscript"/>
              </w:rPr>
              <w:t>x</w:t>
            </w:r>
          </w:p>
        </w:tc>
        <w:tc>
          <w:tcPr>
            <w:tcW w:w="1267" w:type="dxa"/>
          </w:tcPr>
          <w:p w14:paraId="612E965D" w14:textId="444DC167" w:rsidR="0065733B" w:rsidRDefault="0065733B" w:rsidP="00D25FA0">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PM</w:t>
            </w:r>
            <w:r w:rsidRPr="0065733B">
              <w:rPr>
                <w:b w:val="0"/>
                <w:vertAlign w:val="subscript"/>
              </w:rPr>
              <w:t>10</w:t>
            </w:r>
          </w:p>
        </w:tc>
        <w:tc>
          <w:tcPr>
            <w:tcW w:w="1278" w:type="dxa"/>
          </w:tcPr>
          <w:p w14:paraId="534B4C32" w14:textId="4143EBA4" w:rsidR="0065733B" w:rsidRDefault="0065733B" w:rsidP="00D25FA0">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PM</w:t>
            </w:r>
            <w:r w:rsidRPr="0065733B">
              <w:rPr>
                <w:b w:val="0"/>
                <w:vertAlign w:val="subscript"/>
              </w:rPr>
              <w:t>2.5</w:t>
            </w:r>
          </w:p>
        </w:tc>
        <w:tc>
          <w:tcPr>
            <w:tcW w:w="568" w:type="dxa"/>
          </w:tcPr>
          <w:p w14:paraId="0AB6EEE9" w14:textId="25DA9909" w:rsidR="0065733B" w:rsidRDefault="0065733B" w:rsidP="00D25FA0">
            <w:pPr>
              <w:pStyle w:val="Heading3"/>
              <w:outlineLvl w:val="2"/>
              <w:cnfStyle w:val="100000000000" w:firstRow="1" w:lastRow="0" w:firstColumn="0" w:lastColumn="0" w:oddVBand="0" w:evenVBand="0" w:oddHBand="0" w:evenHBand="0" w:firstRowFirstColumn="0" w:firstRowLastColumn="0" w:lastRowFirstColumn="0" w:lastRowLastColumn="0"/>
              <w:rPr>
                <w:b w:val="0"/>
              </w:rPr>
            </w:pPr>
            <w:r>
              <w:rPr>
                <w:b w:val="0"/>
              </w:rPr>
              <w:t>Total</w:t>
            </w:r>
          </w:p>
        </w:tc>
      </w:tr>
      <w:tr w:rsidR="0065733B" w14:paraId="286183EC" w14:textId="77777777" w:rsidTr="0065733B">
        <w:trPr>
          <w:trHeight w:val="337"/>
        </w:trPr>
        <w:tc>
          <w:tcPr>
            <w:tcW w:w="10050" w:type="dxa"/>
            <w:gridSpan w:val="8"/>
            <w:shd w:val="clear" w:color="auto" w:fill="D6F2F1" w:themeFill="accent3" w:themeFillTint="66"/>
          </w:tcPr>
          <w:p w14:paraId="29EA9BA3" w14:textId="1862F1C6" w:rsidR="0065733B" w:rsidRDefault="008A7C8A" w:rsidP="008A7C8A">
            <w:pPr>
              <w:pStyle w:val="Heading3"/>
              <w:spacing w:before="0" w:after="0"/>
              <w:jc w:val="center"/>
              <w:outlineLvl w:val="2"/>
              <w:rPr>
                <w:b w:val="0"/>
              </w:rPr>
            </w:pPr>
            <w:bookmarkStart w:id="3" w:name="_Hlk531878079"/>
            <w:r>
              <w:rPr>
                <w:b w:val="0"/>
              </w:rPr>
              <w:t>$</w:t>
            </w:r>
            <w:r w:rsidR="0065733B">
              <w:rPr>
                <w:b w:val="0"/>
              </w:rPr>
              <w:t>/ tonne</w:t>
            </w:r>
            <w:r w:rsidR="00D16634">
              <w:rPr>
                <w:b w:val="0"/>
              </w:rPr>
              <w:t xml:space="preserve"> pollutant</w:t>
            </w:r>
          </w:p>
        </w:tc>
      </w:tr>
      <w:bookmarkEnd w:id="3"/>
      <w:tr w:rsidR="0065733B" w14:paraId="57AFAA43" w14:textId="77777777" w:rsidTr="0065733B">
        <w:tc>
          <w:tcPr>
            <w:tcW w:w="1275" w:type="dxa"/>
          </w:tcPr>
          <w:p w14:paraId="18A9BE19" w14:textId="229C9B60" w:rsidR="0065733B" w:rsidRDefault="0065733B" w:rsidP="00D25FA0">
            <w:pPr>
              <w:pStyle w:val="Heading3"/>
              <w:outlineLvl w:val="2"/>
              <w:rPr>
                <w:b w:val="0"/>
              </w:rPr>
            </w:pPr>
            <w:r>
              <w:rPr>
                <w:b w:val="0"/>
              </w:rPr>
              <w:t xml:space="preserve">Parry et al. </w:t>
            </w:r>
          </w:p>
        </w:tc>
        <w:tc>
          <w:tcPr>
            <w:tcW w:w="1702" w:type="dxa"/>
          </w:tcPr>
          <w:p w14:paraId="42EE79D5" w14:textId="29124285" w:rsidR="0065733B" w:rsidRDefault="0065733B" w:rsidP="00D25FA0">
            <w:pPr>
              <w:pStyle w:val="Heading3"/>
              <w:outlineLvl w:val="2"/>
              <w:rPr>
                <w:b w:val="0"/>
              </w:rPr>
            </w:pPr>
            <w:r>
              <w:rPr>
                <w:b w:val="0"/>
              </w:rPr>
              <w:t>Australia</w:t>
            </w:r>
          </w:p>
        </w:tc>
        <w:tc>
          <w:tcPr>
            <w:tcW w:w="1418" w:type="dxa"/>
          </w:tcPr>
          <w:p w14:paraId="7B2802AF" w14:textId="66FA4656" w:rsidR="0065733B" w:rsidRDefault="00B3122E" w:rsidP="00D25FA0">
            <w:pPr>
              <w:pStyle w:val="Heading3"/>
              <w:outlineLvl w:val="2"/>
              <w:rPr>
                <w:b w:val="0"/>
              </w:rPr>
            </w:pPr>
            <w:r>
              <w:rPr>
                <w:b w:val="0"/>
              </w:rPr>
              <w:t>Coal</w:t>
            </w:r>
          </w:p>
          <w:p w14:paraId="51C4B56C" w14:textId="390A9884" w:rsidR="0065733B" w:rsidRPr="0065733B" w:rsidRDefault="0065733B" w:rsidP="0065733B">
            <w:pPr>
              <w:pStyle w:val="BodyText"/>
              <w:ind w:left="0"/>
              <w:rPr>
                <w:lang w:eastAsia="en-AU"/>
              </w:rPr>
            </w:pPr>
            <w:r>
              <w:rPr>
                <w:lang w:eastAsia="en-AU"/>
              </w:rPr>
              <w:t>Transport</w:t>
            </w:r>
          </w:p>
        </w:tc>
        <w:tc>
          <w:tcPr>
            <w:tcW w:w="1273" w:type="dxa"/>
          </w:tcPr>
          <w:p w14:paraId="3DAD9012" w14:textId="77777777" w:rsidR="0065733B" w:rsidRDefault="0065733B" w:rsidP="00D25FA0">
            <w:pPr>
              <w:pStyle w:val="Heading3"/>
              <w:outlineLvl w:val="2"/>
              <w:rPr>
                <w:b w:val="0"/>
              </w:rPr>
            </w:pPr>
            <w:r>
              <w:rPr>
                <w:b w:val="0"/>
              </w:rPr>
              <w:t>2,696</w:t>
            </w:r>
          </w:p>
          <w:p w14:paraId="0270D04C" w14:textId="4249C33F" w:rsidR="0065733B" w:rsidRPr="0065733B" w:rsidRDefault="0065733B" w:rsidP="0065733B">
            <w:pPr>
              <w:pStyle w:val="BodyText"/>
              <w:ind w:left="0"/>
              <w:rPr>
                <w:lang w:eastAsia="en-AU"/>
              </w:rPr>
            </w:pPr>
            <w:r>
              <w:rPr>
                <w:lang w:eastAsia="en-AU"/>
              </w:rPr>
              <w:t>11,848</w:t>
            </w:r>
          </w:p>
        </w:tc>
        <w:tc>
          <w:tcPr>
            <w:tcW w:w="1269" w:type="dxa"/>
          </w:tcPr>
          <w:p w14:paraId="53AE19D3" w14:textId="77777777" w:rsidR="0065733B" w:rsidRDefault="0065733B" w:rsidP="00D25FA0">
            <w:pPr>
              <w:pStyle w:val="Heading3"/>
              <w:outlineLvl w:val="2"/>
              <w:rPr>
                <w:b w:val="0"/>
              </w:rPr>
            </w:pPr>
            <w:r>
              <w:rPr>
                <w:b w:val="0"/>
              </w:rPr>
              <w:t>1,451</w:t>
            </w:r>
          </w:p>
          <w:p w14:paraId="3CF3A1D7" w14:textId="3FFFA5C6" w:rsidR="0065733B" w:rsidRPr="0065733B" w:rsidRDefault="0065733B" w:rsidP="0065733B">
            <w:pPr>
              <w:pStyle w:val="BodyText"/>
              <w:ind w:left="0"/>
              <w:rPr>
                <w:lang w:eastAsia="en-AU"/>
              </w:rPr>
            </w:pPr>
            <w:r>
              <w:rPr>
                <w:lang w:eastAsia="en-AU"/>
              </w:rPr>
              <w:t>2,407</w:t>
            </w:r>
          </w:p>
        </w:tc>
        <w:tc>
          <w:tcPr>
            <w:tcW w:w="1267" w:type="dxa"/>
          </w:tcPr>
          <w:p w14:paraId="699491B8" w14:textId="1453BD6C" w:rsidR="0065733B" w:rsidRDefault="0065733B" w:rsidP="00D25FA0">
            <w:pPr>
              <w:pStyle w:val="Heading3"/>
              <w:outlineLvl w:val="2"/>
              <w:rPr>
                <w:b w:val="0"/>
              </w:rPr>
            </w:pPr>
            <w:r>
              <w:rPr>
                <w:b w:val="0"/>
              </w:rPr>
              <w:t>N/A</w:t>
            </w:r>
          </w:p>
        </w:tc>
        <w:tc>
          <w:tcPr>
            <w:tcW w:w="1278" w:type="dxa"/>
          </w:tcPr>
          <w:p w14:paraId="1B570867" w14:textId="77777777" w:rsidR="0065733B" w:rsidRDefault="0065733B" w:rsidP="00D25FA0">
            <w:pPr>
              <w:pStyle w:val="Heading3"/>
              <w:outlineLvl w:val="2"/>
              <w:rPr>
                <w:b w:val="0"/>
              </w:rPr>
            </w:pPr>
            <w:r>
              <w:rPr>
                <w:b w:val="0"/>
              </w:rPr>
              <w:t>3,382</w:t>
            </w:r>
          </w:p>
          <w:p w14:paraId="03A71DCF" w14:textId="661B3C1D" w:rsidR="0065733B" w:rsidRPr="0065733B" w:rsidRDefault="0065733B" w:rsidP="0065733B">
            <w:pPr>
              <w:pStyle w:val="BodyText"/>
              <w:ind w:left="0"/>
              <w:rPr>
                <w:lang w:eastAsia="en-AU"/>
              </w:rPr>
            </w:pPr>
            <w:r>
              <w:rPr>
                <w:lang w:eastAsia="en-AU"/>
              </w:rPr>
              <w:t>305,977</w:t>
            </w:r>
          </w:p>
        </w:tc>
        <w:tc>
          <w:tcPr>
            <w:tcW w:w="568" w:type="dxa"/>
          </w:tcPr>
          <w:p w14:paraId="3D2F3922" w14:textId="63B61B98" w:rsidR="0065733B" w:rsidRDefault="0065733B" w:rsidP="00D25FA0">
            <w:pPr>
              <w:pStyle w:val="Heading3"/>
              <w:outlineLvl w:val="2"/>
              <w:rPr>
                <w:b w:val="0"/>
              </w:rPr>
            </w:pPr>
            <w:r>
              <w:rPr>
                <w:b w:val="0"/>
              </w:rPr>
              <w:t>N/A</w:t>
            </w:r>
          </w:p>
        </w:tc>
      </w:tr>
      <w:tr w:rsidR="0065733B" w14:paraId="0536CF19" w14:textId="77777777" w:rsidTr="0065733B">
        <w:tc>
          <w:tcPr>
            <w:tcW w:w="1275" w:type="dxa"/>
          </w:tcPr>
          <w:p w14:paraId="0923AF2D" w14:textId="6FC278F5" w:rsidR="0065733B" w:rsidRDefault="0065733B" w:rsidP="00D25FA0">
            <w:pPr>
              <w:pStyle w:val="Heading3"/>
              <w:outlineLvl w:val="2"/>
              <w:rPr>
                <w:b w:val="0"/>
              </w:rPr>
            </w:pPr>
            <w:r>
              <w:rPr>
                <w:b w:val="0"/>
              </w:rPr>
              <w:t>PAE Holmes</w:t>
            </w:r>
          </w:p>
        </w:tc>
        <w:tc>
          <w:tcPr>
            <w:tcW w:w="1702" w:type="dxa"/>
          </w:tcPr>
          <w:p w14:paraId="72EDB8EE" w14:textId="77777777" w:rsidR="0065733B" w:rsidRDefault="0065733B" w:rsidP="00D25FA0">
            <w:pPr>
              <w:pStyle w:val="Heading3"/>
              <w:outlineLvl w:val="2"/>
              <w:rPr>
                <w:b w:val="0"/>
              </w:rPr>
            </w:pPr>
            <w:r>
              <w:rPr>
                <w:b w:val="0"/>
              </w:rPr>
              <w:t xml:space="preserve">Melbourne </w:t>
            </w:r>
          </w:p>
          <w:p w14:paraId="0E2E3818" w14:textId="4D01AC6B" w:rsidR="0065733B" w:rsidRDefault="0065733B" w:rsidP="0065733B">
            <w:pPr>
              <w:pStyle w:val="BodyText"/>
              <w:ind w:left="0"/>
              <w:rPr>
                <w:lang w:eastAsia="en-AU"/>
              </w:rPr>
            </w:pPr>
            <w:r>
              <w:rPr>
                <w:lang w:eastAsia="en-AU"/>
              </w:rPr>
              <w:t>Traralgon-Morwell</w:t>
            </w:r>
          </w:p>
          <w:p w14:paraId="3903F4DD" w14:textId="669AF4B2" w:rsidR="0065733B" w:rsidRPr="0065733B" w:rsidRDefault="0065733B" w:rsidP="0065733B">
            <w:pPr>
              <w:pStyle w:val="BodyText"/>
              <w:ind w:left="0"/>
              <w:rPr>
                <w:lang w:eastAsia="en-AU"/>
              </w:rPr>
            </w:pPr>
            <w:r>
              <w:rPr>
                <w:lang w:eastAsia="en-AU"/>
              </w:rPr>
              <w:t>Moe-Newborough</w:t>
            </w:r>
          </w:p>
        </w:tc>
        <w:tc>
          <w:tcPr>
            <w:tcW w:w="1418" w:type="dxa"/>
          </w:tcPr>
          <w:p w14:paraId="59BF974C" w14:textId="2FBE3B4D" w:rsidR="0065733B" w:rsidRDefault="008906EE" w:rsidP="009061C3">
            <w:pPr>
              <w:pStyle w:val="Heading3"/>
              <w:outlineLvl w:val="2"/>
              <w:rPr>
                <w:b w:val="0"/>
              </w:rPr>
            </w:pPr>
            <w:r>
              <w:rPr>
                <w:b w:val="0"/>
              </w:rPr>
              <w:t>Transport</w:t>
            </w:r>
          </w:p>
          <w:p w14:paraId="1DF8F973" w14:textId="352A8491" w:rsidR="009061C3" w:rsidRDefault="008906EE" w:rsidP="009061C3">
            <w:pPr>
              <w:pStyle w:val="BodyText"/>
              <w:ind w:left="0"/>
              <w:rPr>
                <w:lang w:eastAsia="en-AU"/>
              </w:rPr>
            </w:pPr>
            <w:r>
              <w:rPr>
                <w:lang w:eastAsia="en-AU"/>
              </w:rPr>
              <w:t>Transport</w:t>
            </w:r>
          </w:p>
          <w:p w14:paraId="67D59FDE" w14:textId="701B8901" w:rsidR="009061C3" w:rsidRPr="009061C3" w:rsidRDefault="008906EE" w:rsidP="009061C3">
            <w:pPr>
              <w:pStyle w:val="BodyText"/>
              <w:ind w:left="0"/>
              <w:rPr>
                <w:lang w:eastAsia="en-AU"/>
              </w:rPr>
            </w:pPr>
            <w:r>
              <w:rPr>
                <w:lang w:eastAsia="en-AU"/>
              </w:rPr>
              <w:t>Transport</w:t>
            </w:r>
          </w:p>
        </w:tc>
        <w:tc>
          <w:tcPr>
            <w:tcW w:w="1273" w:type="dxa"/>
          </w:tcPr>
          <w:p w14:paraId="096302D6" w14:textId="7B211046" w:rsidR="0065733B" w:rsidRDefault="0065733B" w:rsidP="00D25FA0">
            <w:pPr>
              <w:pStyle w:val="Heading3"/>
              <w:outlineLvl w:val="2"/>
              <w:rPr>
                <w:b w:val="0"/>
              </w:rPr>
            </w:pPr>
            <w:r>
              <w:rPr>
                <w:b w:val="0"/>
              </w:rPr>
              <w:t>N/A</w:t>
            </w:r>
          </w:p>
        </w:tc>
        <w:tc>
          <w:tcPr>
            <w:tcW w:w="1269" w:type="dxa"/>
          </w:tcPr>
          <w:p w14:paraId="36707088" w14:textId="5B2FEAB6" w:rsidR="0065733B" w:rsidRDefault="0065733B" w:rsidP="0065733B">
            <w:pPr>
              <w:pStyle w:val="Heading3"/>
              <w:numPr>
                <w:ilvl w:val="0"/>
                <w:numId w:val="0"/>
              </w:numPr>
              <w:outlineLvl w:val="2"/>
              <w:rPr>
                <w:b w:val="0"/>
              </w:rPr>
            </w:pPr>
            <w:r>
              <w:rPr>
                <w:b w:val="0"/>
              </w:rPr>
              <w:t>N/A</w:t>
            </w:r>
          </w:p>
        </w:tc>
        <w:tc>
          <w:tcPr>
            <w:tcW w:w="1267" w:type="dxa"/>
          </w:tcPr>
          <w:p w14:paraId="1299F25E" w14:textId="1CDF411E" w:rsidR="0065733B" w:rsidRDefault="0065733B" w:rsidP="0065733B">
            <w:pPr>
              <w:pStyle w:val="Heading3"/>
              <w:numPr>
                <w:ilvl w:val="0"/>
                <w:numId w:val="0"/>
              </w:numPr>
              <w:outlineLvl w:val="2"/>
              <w:rPr>
                <w:b w:val="0"/>
              </w:rPr>
            </w:pPr>
            <w:r>
              <w:rPr>
                <w:b w:val="0"/>
              </w:rPr>
              <w:t>N/A</w:t>
            </w:r>
          </w:p>
        </w:tc>
        <w:tc>
          <w:tcPr>
            <w:tcW w:w="1278" w:type="dxa"/>
          </w:tcPr>
          <w:p w14:paraId="582C3A6B" w14:textId="7D5F125F" w:rsidR="0065733B" w:rsidRDefault="000F4B90" w:rsidP="00D25FA0">
            <w:pPr>
              <w:pStyle w:val="Heading3"/>
              <w:outlineLvl w:val="2"/>
              <w:rPr>
                <w:b w:val="0"/>
              </w:rPr>
            </w:pPr>
            <w:r w:rsidRPr="000F4B90">
              <w:rPr>
                <w:b w:val="0"/>
              </w:rPr>
              <w:t>216,332</w:t>
            </w:r>
          </w:p>
          <w:p w14:paraId="4CCE7F54" w14:textId="77777777" w:rsidR="000F4B90" w:rsidRDefault="000F4B90" w:rsidP="0065733B">
            <w:pPr>
              <w:pStyle w:val="BodyText"/>
              <w:ind w:left="0"/>
              <w:rPr>
                <w:lang w:eastAsia="en-AU"/>
              </w:rPr>
            </w:pPr>
            <w:r w:rsidRPr="000F4B90">
              <w:rPr>
                <w:lang w:eastAsia="en-AU"/>
              </w:rPr>
              <w:t xml:space="preserve">53,514 </w:t>
            </w:r>
          </w:p>
          <w:p w14:paraId="36F3B546" w14:textId="6489D48A" w:rsidR="0065733B" w:rsidRPr="0065733B" w:rsidRDefault="000F4B90" w:rsidP="0065733B">
            <w:pPr>
              <w:pStyle w:val="BodyText"/>
              <w:ind w:left="0"/>
              <w:rPr>
                <w:lang w:eastAsia="en-AU"/>
              </w:rPr>
            </w:pPr>
            <w:r w:rsidRPr="000F4B90">
              <w:rPr>
                <w:lang w:eastAsia="en-AU"/>
              </w:rPr>
              <w:t>50,098</w:t>
            </w:r>
          </w:p>
        </w:tc>
        <w:tc>
          <w:tcPr>
            <w:tcW w:w="568" w:type="dxa"/>
          </w:tcPr>
          <w:p w14:paraId="3E7E0FF4" w14:textId="12F25D7A" w:rsidR="0065733B" w:rsidRDefault="0065733B" w:rsidP="00D25FA0">
            <w:pPr>
              <w:pStyle w:val="Heading3"/>
              <w:outlineLvl w:val="2"/>
              <w:rPr>
                <w:b w:val="0"/>
              </w:rPr>
            </w:pPr>
            <w:r>
              <w:rPr>
                <w:b w:val="0"/>
              </w:rPr>
              <w:t>N/A</w:t>
            </w:r>
          </w:p>
        </w:tc>
      </w:tr>
      <w:tr w:rsidR="0065733B" w14:paraId="69DA7E10" w14:textId="77777777" w:rsidTr="0065733B">
        <w:trPr>
          <w:trHeight w:val="337"/>
        </w:trPr>
        <w:tc>
          <w:tcPr>
            <w:tcW w:w="10050" w:type="dxa"/>
            <w:gridSpan w:val="8"/>
            <w:shd w:val="clear" w:color="auto" w:fill="D6F2F1" w:themeFill="accent3" w:themeFillTint="66"/>
          </w:tcPr>
          <w:p w14:paraId="01670FEC" w14:textId="72FBAB93" w:rsidR="0065733B" w:rsidRDefault="008A7C8A" w:rsidP="008A7C8A">
            <w:pPr>
              <w:pStyle w:val="Heading3"/>
              <w:spacing w:before="0" w:after="0"/>
              <w:jc w:val="center"/>
              <w:outlineLvl w:val="2"/>
              <w:rPr>
                <w:b w:val="0"/>
              </w:rPr>
            </w:pPr>
            <w:r>
              <w:rPr>
                <w:b w:val="0"/>
              </w:rPr>
              <w:t>$</w:t>
            </w:r>
            <w:r w:rsidR="0065733B">
              <w:rPr>
                <w:b w:val="0"/>
              </w:rPr>
              <w:t>/ MWh</w:t>
            </w:r>
            <w:r w:rsidR="00D16634">
              <w:rPr>
                <w:b w:val="0"/>
              </w:rPr>
              <w:t xml:space="preserve"> electricity generation</w:t>
            </w:r>
          </w:p>
        </w:tc>
      </w:tr>
      <w:tr w:rsidR="0065733B" w14:paraId="27081534" w14:textId="77777777" w:rsidTr="0065733B">
        <w:tc>
          <w:tcPr>
            <w:tcW w:w="1275" w:type="dxa"/>
          </w:tcPr>
          <w:p w14:paraId="763A4064" w14:textId="30E77165" w:rsidR="0065733B" w:rsidRDefault="0065733B" w:rsidP="00D25FA0">
            <w:pPr>
              <w:pStyle w:val="Heading3"/>
              <w:outlineLvl w:val="2"/>
              <w:rPr>
                <w:b w:val="0"/>
              </w:rPr>
            </w:pPr>
            <w:r>
              <w:rPr>
                <w:b w:val="0"/>
              </w:rPr>
              <w:t>ATSE</w:t>
            </w:r>
          </w:p>
        </w:tc>
        <w:tc>
          <w:tcPr>
            <w:tcW w:w="1702" w:type="dxa"/>
          </w:tcPr>
          <w:p w14:paraId="33C53424" w14:textId="2F14ABBF" w:rsidR="0065733B" w:rsidRDefault="0065733B" w:rsidP="00D25FA0">
            <w:pPr>
              <w:pStyle w:val="Heading3"/>
              <w:outlineLvl w:val="2"/>
              <w:rPr>
                <w:b w:val="0"/>
              </w:rPr>
            </w:pPr>
            <w:r>
              <w:rPr>
                <w:b w:val="0"/>
              </w:rPr>
              <w:t>Australia</w:t>
            </w:r>
          </w:p>
        </w:tc>
        <w:tc>
          <w:tcPr>
            <w:tcW w:w="1418" w:type="dxa"/>
          </w:tcPr>
          <w:p w14:paraId="2F6E0DA4" w14:textId="2EE95C24" w:rsidR="0065733B" w:rsidRDefault="0065733B" w:rsidP="00D25FA0">
            <w:pPr>
              <w:pStyle w:val="Heading3"/>
              <w:outlineLvl w:val="2"/>
              <w:rPr>
                <w:b w:val="0"/>
              </w:rPr>
            </w:pPr>
            <w:r>
              <w:rPr>
                <w:b w:val="0"/>
              </w:rPr>
              <w:t>Energy</w:t>
            </w:r>
          </w:p>
        </w:tc>
        <w:tc>
          <w:tcPr>
            <w:tcW w:w="1273" w:type="dxa"/>
          </w:tcPr>
          <w:p w14:paraId="2C0E07C6" w14:textId="011338AF" w:rsidR="0065733B" w:rsidRDefault="0065733B" w:rsidP="00D25FA0">
            <w:pPr>
              <w:pStyle w:val="Heading3"/>
              <w:outlineLvl w:val="2"/>
              <w:rPr>
                <w:b w:val="0"/>
              </w:rPr>
            </w:pPr>
            <w:r>
              <w:rPr>
                <w:b w:val="0"/>
              </w:rPr>
              <w:t>9.36</w:t>
            </w:r>
          </w:p>
        </w:tc>
        <w:tc>
          <w:tcPr>
            <w:tcW w:w="1269" w:type="dxa"/>
          </w:tcPr>
          <w:p w14:paraId="314CFD70" w14:textId="586F9937" w:rsidR="0065733B" w:rsidRDefault="0065733B" w:rsidP="00D25FA0">
            <w:pPr>
              <w:pStyle w:val="Heading3"/>
              <w:outlineLvl w:val="2"/>
              <w:rPr>
                <w:b w:val="0"/>
              </w:rPr>
            </w:pPr>
            <w:r>
              <w:rPr>
                <w:b w:val="0"/>
              </w:rPr>
              <w:t>5.17</w:t>
            </w:r>
          </w:p>
        </w:tc>
        <w:tc>
          <w:tcPr>
            <w:tcW w:w="1267" w:type="dxa"/>
          </w:tcPr>
          <w:p w14:paraId="71A3889A" w14:textId="21C96D4F" w:rsidR="0065733B" w:rsidRDefault="0065733B" w:rsidP="00D25FA0">
            <w:pPr>
              <w:pStyle w:val="Heading3"/>
              <w:outlineLvl w:val="2"/>
              <w:rPr>
                <w:b w:val="0"/>
              </w:rPr>
            </w:pPr>
            <w:r>
              <w:rPr>
                <w:b w:val="0"/>
              </w:rPr>
              <w:t>1.72</w:t>
            </w:r>
          </w:p>
        </w:tc>
        <w:tc>
          <w:tcPr>
            <w:tcW w:w="1278" w:type="dxa"/>
          </w:tcPr>
          <w:p w14:paraId="29BC70C3" w14:textId="2DADFFE8" w:rsidR="0065733B" w:rsidRDefault="005D54E1" w:rsidP="00D25FA0">
            <w:pPr>
              <w:pStyle w:val="Heading3"/>
              <w:outlineLvl w:val="2"/>
              <w:rPr>
                <w:b w:val="0"/>
              </w:rPr>
            </w:pPr>
            <w:r>
              <w:rPr>
                <w:b w:val="0"/>
              </w:rPr>
              <w:t>N/A</w:t>
            </w:r>
          </w:p>
        </w:tc>
        <w:tc>
          <w:tcPr>
            <w:tcW w:w="568" w:type="dxa"/>
          </w:tcPr>
          <w:p w14:paraId="3D3EA336" w14:textId="78B4938A" w:rsidR="0065733B" w:rsidRDefault="005D54E1" w:rsidP="00D25FA0">
            <w:pPr>
              <w:pStyle w:val="Heading3"/>
              <w:outlineLvl w:val="2"/>
              <w:rPr>
                <w:b w:val="0"/>
              </w:rPr>
            </w:pPr>
            <w:r>
              <w:rPr>
                <w:b w:val="0"/>
              </w:rPr>
              <w:t>16.26</w:t>
            </w:r>
          </w:p>
        </w:tc>
      </w:tr>
      <w:tr w:rsidR="0065733B" w14:paraId="447FF65D" w14:textId="77777777" w:rsidTr="0065733B">
        <w:tc>
          <w:tcPr>
            <w:tcW w:w="1275" w:type="dxa"/>
          </w:tcPr>
          <w:p w14:paraId="7C222369" w14:textId="5EB71CCB" w:rsidR="0065733B" w:rsidRDefault="0065733B" w:rsidP="00D25FA0">
            <w:pPr>
              <w:pStyle w:val="Heading3"/>
              <w:outlineLvl w:val="2"/>
              <w:rPr>
                <w:b w:val="0"/>
              </w:rPr>
            </w:pPr>
            <w:r>
              <w:rPr>
                <w:b w:val="0"/>
              </w:rPr>
              <w:t>Ward &amp; Power</w:t>
            </w:r>
          </w:p>
        </w:tc>
        <w:tc>
          <w:tcPr>
            <w:tcW w:w="1702" w:type="dxa"/>
          </w:tcPr>
          <w:p w14:paraId="085AAFB4" w14:textId="77777777" w:rsidR="0065733B" w:rsidRDefault="0065733B" w:rsidP="00D25FA0">
            <w:pPr>
              <w:pStyle w:val="Heading3"/>
              <w:outlineLvl w:val="2"/>
              <w:rPr>
                <w:b w:val="0"/>
              </w:rPr>
            </w:pPr>
            <w:r>
              <w:rPr>
                <w:b w:val="0"/>
              </w:rPr>
              <w:t>Hazelwood</w:t>
            </w:r>
          </w:p>
          <w:p w14:paraId="646AD1E5" w14:textId="77777777" w:rsidR="0065733B" w:rsidRDefault="0065733B" w:rsidP="0065733B">
            <w:pPr>
              <w:pStyle w:val="BodyText"/>
              <w:ind w:left="0"/>
              <w:rPr>
                <w:lang w:eastAsia="en-AU"/>
              </w:rPr>
            </w:pPr>
            <w:r>
              <w:rPr>
                <w:lang w:eastAsia="en-AU"/>
              </w:rPr>
              <w:t>Loy Yang A</w:t>
            </w:r>
          </w:p>
          <w:p w14:paraId="38CCBAA7" w14:textId="77777777" w:rsidR="0065733B" w:rsidRDefault="0065733B" w:rsidP="0065733B">
            <w:pPr>
              <w:pStyle w:val="BodyText"/>
              <w:ind w:left="0"/>
              <w:rPr>
                <w:lang w:eastAsia="en-AU"/>
              </w:rPr>
            </w:pPr>
            <w:r>
              <w:rPr>
                <w:lang w:eastAsia="en-AU"/>
              </w:rPr>
              <w:t>Loy Yang B</w:t>
            </w:r>
          </w:p>
          <w:p w14:paraId="44B563D6" w14:textId="0EB6F733" w:rsidR="0065733B" w:rsidRPr="0065733B" w:rsidRDefault="0065733B" w:rsidP="0065733B">
            <w:pPr>
              <w:pStyle w:val="BodyText"/>
              <w:ind w:left="0"/>
              <w:rPr>
                <w:lang w:eastAsia="en-AU"/>
              </w:rPr>
            </w:pPr>
            <w:r>
              <w:rPr>
                <w:lang w:eastAsia="en-AU"/>
              </w:rPr>
              <w:t>Yallourn</w:t>
            </w:r>
          </w:p>
        </w:tc>
        <w:tc>
          <w:tcPr>
            <w:tcW w:w="1418" w:type="dxa"/>
          </w:tcPr>
          <w:p w14:paraId="7DC3E9C5" w14:textId="1534D306" w:rsidR="0065733B" w:rsidRDefault="0065733B" w:rsidP="0065733B">
            <w:pPr>
              <w:pStyle w:val="Heading3"/>
              <w:numPr>
                <w:ilvl w:val="0"/>
                <w:numId w:val="0"/>
              </w:numPr>
              <w:outlineLvl w:val="2"/>
              <w:rPr>
                <w:b w:val="0"/>
              </w:rPr>
            </w:pPr>
            <w:r>
              <w:rPr>
                <w:b w:val="0"/>
              </w:rPr>
              <w:t>Coal-fired power</w:t>
            </w:r>
          </w:p>
        </w:tc>
        <w:tc>
          <w:tcPr>
            <w:tcW w:w="1273" w:type="dxa"/>
          </w:tcPr>
          <w:p w14:paraId="3A446CE2" w14:textId="77777777" w:rsidR="0065733B" w:rsidRDefault="0065733B" w:rsidP="00D25FA0">
            <w:pPr>
              <w:pStyle w:val="Heading3"/>
              <w:outlineLvl w:val="2"/>
              <w:rPr>
                <w:b w:val="0"/>
              </w:rPr>
            </w:pPr>
            <w:r>
              <w:rPr>
                <w:b w:val="0"/>
              </w:rPr>
              <w:t>5.11</w:t>
            </w:r>
          </w:p>
          <w:p w14:paraId="4032E875" w14:textId="77777777" w:rsidR="005D54E1" w:rsidRDefault="005D54E1" w:rsidP="005D54E1">
            <w:pPr>
              <w:pStyle w:val="BodyText"/>
              <w:rPr>
                <w:lang w:eastAsia="en-AU"/>
              </w:rPr>
            </w:pPr>
          </w:p>
          <w:p w14:paraId="5FEC3362" w14:textId="0C723851" w:rsidR="005D54E1" w:rsidRPr="005D54E1" w:rsidRDefault="005D54E1" w:rsidP="005D54E1">
            <w:pPr>
              <w:pStyle w:val="BodyText"/>
              <w:rPr>
                <w:lang w:eastAsia="en-AU"/>
              </w:rPr>
            </w:pPr>
            <w:r>
              <w:rPr>
                <w:lang w:eastAsia="en-AU"/>
              </w:rPr>
              <w:t>N/A</w:t>
            </w:r>
          </w:p>
        </w:tc>
        <w:tc>
          <w:tcPr>
            <w:tcW w:w="1269" w:type="dxa"/>
          </w:tcPr>
          <w:p w14:paraId="062FAC60" w14:textId="77777777" w:rsidR="0065733B" w:rsidRDefault="0065733B" w:rsidP="00D25FA0">
            <w:pPr>
              <w:pStyle w:val="Heading3"/>
              <w:outlineLvl w:val="2"/>
              <w:rPr>
                <w:b w:val="0"/>
              </w:rPr>
            </w:pPr>
            <w:r>
              <w:rPr>
                <w:b w:val="0"/>
              </w:rPr>
              <w:t>2.88</w:t>
            </w:r>
          </w:p>
          <w:p w14:paraId="5ADBB5A6" w14:textId="77777777" w:rsidR="005D54E1" w:rsidRDefault="005D54E1" w:rsidP="005D54E1">
            <w:pPr>
              <w:pStyle w:val="BodyText"/>
              <w:rPr>
                <w:lang w:eastAsia="en-AU"/>
              </w:rPr>
            </w:pPr>
          </w:p>
          <w:p w14:paraId="037C2A85" w14:textId="2D9A14D1" w:rsidR="005D54E1" w:rsidRPr="005D54E1" w:rsidRDefault="005D54E1" w:rsidP="005D54E1">
            <w:pPr>
              <w:pStyle w:val="BodyText"/>
              <w:rPr>
                <w:lang w:eastAsia="en-AU"/>
              </w:rPr>
            </w:pPr>
            <w:r>
              <w:rPr>
                <w:lang w:eastAsia="en-AU"/>
              </w:rPr>
              <w:t>N/A</w:t>
            </w:r>
          </w:p>
        </w:tc>
        <w:tc>
          <w:tcPr>
            <w:tcW w:w="1267" w:type="dxa"/>
          </w:tcPr>
          <w:p w14:paraId="7FB50DA5" w14:textId="77777777" w:rsidR="0065733B" w:rsidRDefault="0065733B" w:rsidP="00D25FA0">
            <w:pPr>
              <w:pStyle w:val="Heading3"/>
              <w:outlineLvl w:val="2"/>
              <w:rPr>
                <w:b w:val="0"/>
              </w:rPr>
            </w:pPr>
            <w:r>
              <w:rPr>
                <w:b w:val="0"/>
              </w:rPr>
              <w:t>0.09</w:t>
            </w:r>
          </w:p>
          <w:p w14:paraId="32545916" w14:textId="77777777" w:rsidR="005D54E1" w:rsidRDefault="005D54E1" w:rsidP="005D54E1">
            <w:pPr>
              <w:pStyle w:val="BodyText"/>
              <w:rPr>
                <w:lang w:eastAsia="en-AU"/>
              </w:rPr>
            </w:pPr>
          </w:p>
          <w:p w14:paraId="4D77E3B7" w14:textId="28C060E7" w:rsidR="005D54E1" w:rsidRPr="005D54E1" w:rsidRDefault="005D54E1" w:rsidP="005D54E1">
            <w:pPr>
              <w:pStyle w:val="BodyText"/>
              <w:rPr>
                <w:lang w:eastAsia="en-AU"/>
              </w:rPr>
            </w:pPr>
            <w:r>
              <w:rPr>
                <w:lang w:eastAsia="en-AU"/>
              </w:rPr>
              <w:t>N/A</w:t>
            </w:r>
          </w:p>
        </w:tc>
        <w:tc>
          <w:tcPr>
            <w:tcW w:w="1278" w:type="dxa"/>
          </w:tcPr>
          <w:p w14:paraId="2B4DE19B" w14:textId="7D1EA0EA" w:rsidR="0065733B" w:rsidRDefault="0065733B" w:rsidP="00D25FA0">
            <w:pPr>
              <w:pStyle w:val="Heading3"/>
              <w:outlineLvl w:val="2"/>
              <w:rPr>
                <w:b w:val="0"/>
              </w:rPr>
            </w:pPr>
            <w:r>
              <w:rPr>
                <w:b w:val="0"/>
              </w:rPr>
              <w:t>0.35</w:t>
            </w:r>
          </w:p>
          <w:p w14:paraId="2C9603CE" w14:textId="77777777" w:rsidR="0065733B" w:rsidRDefault="0065733B" w:rsidP="0065733B">
            <w:pPr>
              <w:pStyle w:val="BodyText"/>
              <w:ind w:left="0"/>
              <w:rPr>
                <w:lang w:eastAsia="en-AU"/>
              </w:rPr>
            </w:pPr>
          </w:p>
          <w:p w14:paraId="0B67D48D" w14:textId="230B8C95" w:rsidR="005D54E1" w:rsidRPr="0065733B" w:rsidRDefault="005D54E1" w:rsidP="0065733B">
            <w:pPr>
              <w:pStyle w:val="BodyText"/>
              <w:ind w:left="0"/>
              <w:rPr>
                <w:lang w:eastAsia="en-AU"/>
              </w:rPr>
            </w:pPr>
            <w:r>
              <w:rPr>
                <w:lang w:eastAsia="en-AU"/>
              </w:rPr>
              <w:t>N/A</w:t>
            </w:r>
          </w:p>
        </w:tc>
        <w:tc>
          <w:tcPr>
            <w:tcW w:w="568" w:type="dxa"/>
          </w:tcPr>
          <w:p w14:paraId="41F90129" w14:textId="77777777" w:rsidR="0065733B" w:rsidRDefault="0065733B" w:rsidP="00D25FA0">
            <w:pPr>
              <w:pStyle w:val="Heading3"/>
              <w:outlineLvl w:val="2"/>
              <w:rPr>
                <w:b w:val="0"/>
              </w:rPr>
            </w:pPr>
            <w:r>
              <w:rPr>
                <w:b w:val="0"/>
              </w:rPr>
              <w:t>8.44</w:t>
            </w:r>
          </w:p>
          <w:p w14:paraId="5E0EF7E3" w14:textId="77777777" w:rsidR="0065733B" w:rsidRDefault="0065733B" w:rsidP="0065733B">
            <w:pPr>
              <w:pStyle w:val="BodyText"/>
              <w:ind w:left="0"/>
              <w:rPr>
                <w:lang w:eastAsia="en-AU"/>
              </w:rPr>
            </w:pPr>
            <w:r>
              <w:rPr>
                <w:lang w:eastAsia="en-AU"/>
              </w:rPr>
              <w:t>18.85</w:t>
            </w:r>
          </w:p>
          <w:p w14:paraId="24455254" w14:textId="77777777" w:rsidR="0065733B" w:rsidRDefault="0065733B" w:rsidP="0065733B">
            <w:pPr>
              <w:pStyle w:val="BodyText"/>
              <w:ind w:left="0"/>
              <w:rPr>
                <w:lang w:eastAsia="en-AU"/>
              </w:rPr>
            </w:pPr>
            <w:r>
              <w:rPr>
                <w:lang w:eastAsia="en-AU"/>
              </w:rPr>
              <w:t>16.86</w:t>
            </w:r>
          </w:p>
          <w:p w14:paraId="2951DC5F" w14:textId="689DB7B5" w:rsidR="0065733B" w:rsidRPr="0065733B" w:rsidRDefault="0065733B" w:rsidP="008A7C8A">
            <w:pPr>
              <w:pStyle w:val="BodyText"/>
              <w:keepNext/>
              <w:ind w:left="0"/>
              <w:rPr>
                <w:lang w:eastAsia="en-AU"/>
              </w:rPr>
            </w:pPr>
            <w:r>
              <w:rPr>
                <w:lang w:eastAsia="en-AU"/>
              </w:rPr>
              <w:t>11.92</w:t>
            </w:r>
          </w:p>
        </w:tc>
      </w:tr>
    </w:tbl>
    <w:p w14:paraId="00EA87F4" w14:textId="77777777" w:rsidR="004848E1" w:rsidRDefault="004848E1" w:rsidP="004848E1">
      <w:pPr>
        <w:pStyle w:val="BodyText"/>
      </w:pPr>
    </w:p>
    <w:p w14:paraId="7AD05C10" w14:textId="37B47633" w:rsidR="005121B8" w:rsidRDefault="00903587" w:rsidP="004848E1">
      <w:pPr>
        <w:pStyle w:val="BodyText"/>
      </w:pPr>
      <w:r>
        <w:t>To calculate total health costs for the electricity sector in Victoria, t</w:t>
      </w:r>
      <w:r w:rsidR="005121B8">
        <w:t xml:space="preserve">he various damage costs </w:t>
      </w:r>
      <w:r>
        <w:t>(</w:t>
      </w:r>
      <w:r w:rsidR="005121B8">
        <w:t>Table A-1</w:t>
      </w:r>
      <w:r>
        <w:t xml:space="preserve">) per tonne of pollutant were applied to emissions data from the National Pollutant Inventory, and the various damage costs per </w:t>
      </w:r>
      <w:r w:rsidR="00E35298">
        <w:t>MWh</w:t>
      </w:r>
      <w:r>
        <w:t xml:space="preserve"> were applied to electricity generation data from the Clean Energy Regulator (for 2016/17 generation) and from the N</w:t>
      </w:r>
      <w:r w:rsidR="00850B0B">
        <w:t xml:space="preserve">ational </w:t>
      </w:r>
      <w:r>
        <w:t>E</w:t>
      </w:r>
      <w:r w:rsidR="00850B0B">
        <w:t xml:space="preserve">lectricity </w:t>
      </w:r>
      <w:r>
        <w:t>M</w:t>
      </w:r>
      <w:r w:rsidR="00850B0B">
        <w:t xml:space="preserve">arket (NEM) </w:t>
      </w:r>
      <w:r>
        <w:t>Review (for 2017/18 generation).</w:t>
      </w:r>
      <w:r w:rsidR="005121B8">
        <w:t xml:space="preserve"> </w:t>
      </w:r>
    </w:p>
    <w:p w14:paraId="14505F6A" w14:textId="58A08A1C" w:rsidR="00D76776" w:rsidRDefault="00D76776" w:rsidP="004848E1">
      <w:pPr>
        <w:pStyle w:val="BodyText"/>
      </w:pPr>
      <w:r w:rsidRPr="004848E1">
        <w:t>The various calculated total health costs for the electricity sector in Victoria from differin</w:t>
      </w:r>
      <w:r w:rsidR="00903587" w:rsidRPr="004848E1">
        <w:t>g damage costs are presented below in Table A-2 – A</w:t>
      </w:r>
      <w:r w:rsidR="00CA1A0F">
        <w:t>-</w:t>
      </w:r>
      <w:r w:rsidR="00903587" w:rsidRPr="004848E1">
        <w:t>7</w:t>
      </w:r>
      <w:r w:rsidRPr="004848E1">
        <w:t>.</w:t>
      </w:r>
    </w:p>
    <w:p w14:paraId="6E294262" w14:textId="77777777" w:rsidR="00DD0912" w:rsidRDefault="00DD0912">
      <w:pPr>
        <w:rPr>
          <w:b/>
          <w:color w:val="494847"/>
        </w:rPr>
      </w:pPr>
      <w:r>
        <w:br w:type="page"/>
      </w:r>
    </w:p>
    <w:p w14:paraId="6E7D50C1" w14:textId="4F439147" w:rsidR="00067DAC" w:rsidRPr="00D25FA0" w:rsidRDefault="009E68D0" w:rsidP="00DD0912">
      <w:pPr>
        <w:pStyle w:val="Heading3"/>
        <w:numPr>
          <w:ilvl w:val="0"/>
          <w:numId w:val="0"/>
        </w:numPr>
        <w:rPr>
          <w:b w:val="0"/>
        </w:rPr>
      </w:pPr>
      <w:r>
        <w:t xml:space="preserve">Total health costs </w:t>
      </w:r>
      <w:r w:rsidR="00007429">
        <w:t xml:space="preserve">utilising damage costs </w:t>
      </w:r>
      <w:r>
        <w:t xml:space="preserve">per tonne pollutant </w:t>
      </w:r>
      <w:r w:rsidR="00007429">
        <w:t>and</w:t>
      </w:r>
      <w:r w:rsidR="00067DAC" w:rsidRPr="00D25FA0">
        <w:t xml:space="preserve"> 2016/17 NPI emissions data</w:t>
      </w:r>
    </w:p>
    <w:p w14:paraId="55F3BE23" w14:textId="50FAFEE8" w:rsidR="00B3122E" w:rsidRDefault="00B3122E" w:rsidP="004848E1">
      <w:pPr>
        <w:pStyle w:val="BodyText"/>
      </w:pPr>
      <w:r>
        <w:t xml:space="preserve">Table A-2 presents the total health costs for the electricity sector when applying the damage costs from </w:t>
      </w:r>
      <w:r w:rsidR="00CA1A0F">
        <w:t xml:space="preserve">the </w:t>
      </w:r>
      <w:r>
        <w:t>Parry et al. (2014) study. This study estimated damage costs per tonne of pollutant for SO</w:t>
      </w:r>
      <w:r w:rsidRPr="00B3122E">
        <w:rPr>
          <w:vertAlign w:val="subscript"/>
        </w:rPr>
        <w:t>2</w:t>
      </w:r>
      <w:r>
        <w:t>, NO</w:t>
      </w:r>
      <w:r w:rsidRPr="00B3122E">
        <w:rPr>
          <w:vertAlign w:val="subscript"/>
        </w:rPr>
        <w:t>x</w:t>
      </w:r>
      <w:r>
        <w:t xml:space="preserve"> and PM</w:t>
      </w:r>
      <w:r w:rsidRPr="00B3122E">
        <w:rPr>
          <w:vertAlign w:val="subscript"/>
        </w:rPr>
        <w:t>2.5</w:t>
      </w:r>
      <w:r>
        <w:t>. It is important to note that this study suggested much lower damage costs for pollutants coming from coal use, than for other emissions at ground-level (i.e. motor vehicles</w:t>
      </w:r>
      <w:r w:rsidR="00D11FE1">
        <w:t xml:space="preserve">), and that these damage cost values are an Australian national average. </w:t>
      </w:r>
    </w:p>
    <w:p w14:paraId="6F57922E" w14:textId="5D383012" w:rsidR="00795510" w:rsidRDefault="00B3122E" w:rsidP="00795510">
      <w:pPr>
        <w:pStyle w:val="Caption"/>
      </w:pPr>
      <w:r>
        <w:t xml:space="preserve">Table A-2 </w:t>
      </w:r>
      <w:r w:rsidR="00795510" w:rsidRPr="00646D41">
        <w:t>Total health costs from brown coal fired pow</w:t>
      </w:r>
      <w:r w:rsidR="007B6B4A">
        <w:t>er stations, Victoria (AUD$2018</w:t>
      </w:r>
      <w:r w:rsidR="00795510" w:rsidRPr="00646D41">
        <w:t>)</w:t>
      </w:r>
      <w:r>
        <w:t xml:space="preserve"> – Parry et al. damage costs</w:t>
      </w:r>
    </w:p>
    <w:tbl>
      <w:tblPr>
        <w:tblStyle w:val="TableGrid"/>
        <w:tblW w:w="0" w:type="auto"/>
        <w:tblLook w:val="04A0" w:firstRow="1" w:lastRow="0" w:firstColumn="1" w:lastColumn="0" w:noHBand="0" w:noVBand="1"/>
      </w:tblPr>
      <w:tblGrid>
        <w:gridCol w:w="1704"/>
        <w:gridCol w:w="1713"/>
        <w:gridCol w:w="1704"/>
        <w:gridCol w:w="1695"/>
        <w:gridCol w:w="1695"/>
        <w:gridCol w:w="1694"/>
      </w:tblGrid>
      <w:tr w:rsidR="00795510" w14:paraId="295A821A" w14:textId="77777777" w:rsidTr="00795510">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4" w:type="dxa"/>
          </w:tcPr>
          <w:p w14:paraId="4E48229E" w14:textId="039AF551" w:rsidR="00990FCA" w:rsidRDefault="00795510" w:rsidP="00990FCA">
            <w:pPr>
              <w:spacing w:after="160" w:line="259" w:lineRule="auto"/>
            </w:pPr>
            <w:r>
              <w:t>Pollutant</w:t>
            </w:r>
          </w:p>
        </w:tc>
        <w:tc>
          <w:tcPr>
            <w:tcW w:w="1713" w:type="dxa"/>
          </w:tcPr>
          <w:p w14:paraId="4064D972" w14:textId="6D78351A" w:rsidR="00990FCA" w:rsidRDefault="00795510" w:rsidP="00990FCA">
            <w:pPr>
              <w:spacing w:after="160" w:line="259" w:lineRule="auto"/>
              <w:cnfStyle w:val="100000000000" w:firstRow="1" w:lastRow="0" w:firstColumn="0" w:lastColumn="0" w:oddVBand="0" w:evenVBand="0" w:oddHBand="0" w:evenHBand="0" w:firstRowFirstColumn="0" w:firstRowLastColumn="0" w:lastRowFirstColumn="0" w:lastRowLastColumn="0"/>
            </w:pPr>
            <w:r>
              <w:t>Hazelwood</w:t>
            </w:r>
          </w:p>
        </w:tc>
        <w:tc>
          <w:tcPr>
            <w:tcW w:w="1704" w:type="dxa"/>
          </w:tcPr>
          <w:p w14:paraId="77F6C047" w14:textId="51779467" w:rsidR="00990FCA" w:rsidRDefault="00795510" w:rsidP="00990FCA">
            <w:pPr>
              <w:spacing w:after="160" w:line="259" w:lineRule="auto"/>
              <w:cnfStyle w:val="100000000000" w:firstRow="1" w:lastRow="0" w:firstColumn="0" w:lastColumn="0" w:oddVBand="0" w:evenVBand="0" w:oddHBand="0" w:evenHBand="0" w:firstRowFirstColumn="0" w:firstRowLastColumn="0" w:lastRowFirstColumn="0" w:lastRowLastColumn="0"/>
            </w:pPr>
            <w:r>
              <w:t>Yallourn</w:t>
            </w:r>
          </w:p>
        </w:tc>
        <w:tc>
          <w:tcPr>
            <w:tcW w:w="1695" w:type="dxa"/>
          </w:tcPr>
          <w:p w14:paraId="503B6A24" w14:textId="460D2830" w:rsidR="00990FCA" w:rsidRDefault="00795510" w:rsidP="00990FCA">
            <w:pPr>
              <w:spacing w:after="160" w:line="259" w:lineRule="auto"/>
              <w:cnfStyle w:val="100000000000" w:firstRow="1" w:lastRow="0" w:firstColumn="0" w:lastColumn="0" w:oddVBand="0" w:evenVBand="0" w:oddHBand="0" w:evenHBand="0" w:firstRowFirstColumn="0" w:firstRowLastColumn="0" w:lastRowFirstColumn="0" w:lastRowLastColumn="0"/>
            </w:pPr>
            <w:r>
              <w:t>Loy Yang A</w:t>
            </w:r>
          </w:p>
        </w:tc>
        <w:tc>
          <w:tcPr>
            <w:tcW w:w="1695" w:type="dxa"/>
          </w:tcPr>
          <w:p w14:paraId="1263B4C8" w14:textId="6ECDC057" w:rsidR="00990FCA" w:rsidRDefault="00795510" w:rsidP="00990FCA">
            <w:pPr>
              <w:spacing w:after="160" w:line="259" w:lineRule="auto"/>
              <w:cnfStyle w:val="100000000000" w:firstRow="1" w:lastRow="0" w:firstColumn="0" w:lastColumn="0" w:oddVBand="0" w:evenVBand="0" w:oddHBand="0" w:evenHBand="0" w:firstRowFirstColumn="0" w:firstRowLastColumn="0" w:lastRowFirstColumn="0" w:lastRowLastColumn="0"/>
            </w:pPr>
            <w:r>
              <w:t>Loy Yang B</w:t>
            </w:r>
          </w:p>
        </w:tc>
        <w:tc>
          <w:tcPr>
            <w:tcW w:w="1694" w:type="dxa"/>
          </w:tcPr>
          <w:p w14:paraId="161B1DFF" w14:textId="4129C32F" w:rsidR="00990FCA" w:rsidRDefault="00795510" w:rsidP="00990FCA">
            <w:pPr>
              <w:spacing w:after="160" w:line="259" w:lineRule="auto"/>
              <w:cnfStyle w:val="100000000000" w:firstRow="1" w:lastRow="0" w:firstColumn="0" w:lastColumn="0" w:oddVBand="0" w:evenVBand="0" w:oddHBand="0" w:evenHBand="0" w:firstRowFirstColumn="0" w:firstRowLastColumn="0" w:lastRowFirstColumn="0" w:lastRowLastColumn="0"/>
            </w:pPr>
            <w:r>
              <w:t>Total</w:t>
            </w:r>
          </w:p>
        </w:tc>
      </w:tr>
      <w:tr w:rsidR="00795510" w14:paraId="7FA0AA67" w14:textId="77777777" w:rsidTr="00795510">
        <w:tc>
          <w:tcPr>
            <w:tcW w:w="1704" w:type="dxa"/>
          </w:tcPr>
          <w:p w14:paraId="103DD758" w14:textId="0304C6AF" w:rsidR="00795510" w:rsidRDefault="00795510" w:rsidP="00795510">
            <w:pPr>
              <w:spacing w:after="160" w:line="259" w:lineRule="auto"/>
            </w:pPr>
            <w:r>
              <w:t>SO2</w:t>
            </w:r>
          </w:p>
        </w:tc>
        <w:tc>
          <w:tcPr>
            <w:tcW w:w="1713" w:type="dxa"/>
            <w:vAlign w:val="bottom"/>
          </w:tcPr>
          <w:p w14:paraId="2F7B11C7" w14:textId="4FAF8C00" w:rsidR="00795510" w:rsidRDefault="00795510" w:rsidP="00795510">
            <w:pPr>
              <w:spacing w:after="160" w:line="259" w:lineRule="auto"/>
            </w:pPr>
            <w:r w:rsidRPr="00D25FA0">
              <w:t>45,577,593</w:t>
            </w:r>
          </w:p>
        </w:tc>
        <w:tc>
          <w:tcPr>
            <w:tcW w:w="1704" w:type="dxa"/>
            <w:vAlign w:val="center"/>
          </w:tcPr>
          <w:p w14:paraId="1F65CBB9" w14:textId="1C9ABE3C" w:rsidR="00795510" w:rsidRDefault="00795510" w:rsidP="00795510">
            <w:pPr>
              <w:spacing w:after="160" w:line="259" w:lineRule="auto"/>
            </w:pPr>
            <w:r w:rsidRPr="00D25FA0">
              <w:t>56,984,798</w:t>
            </w:r>
          </w:p>
        </w:tc>
        <w:tc>
          <w:tcPr>
            <w:tcW w:w="1695" w:type="dxa"/>
            <w:vAlign w:val="center"/>
          </w:tcPr>
          <w:p w14:paraId="1F45362D" w14:textId="7780BC4A" w:rsidR="00795510" w:rsidRDefault="00795510" w:rsidP="00795510">
            <w:pPr>
              <w:spacing w:after="160" w:line="259" w:lineRule="auto"/>
            </w:pPr>
            <w:r w:rsidRPr="00D25FA0">
              <w:t>139,498,979</w:t>
            </w:r>
          </w:p>
        </w:tc>
        <w:tc>
          <w:tcPr>
            <w:tcW w:w="1695" w:type="dxa"/>
            <w:vAlign w:val="center"/>
          </w:tcPr>
          <w:p w14:paraId="3D3C1824" w14:textId="20C46170" w:rsidR="00795510" w:rsidRDefault="00795510" w:rsidP="00795510">
            <w:pPr>
              <w:spacing w:after="160" w:line="259" w:lineRule="auto"/>
            </w:pPr>
            <w:r w:rsidRPr="00D25FA0">
              <w:t>61,454,934</w:t>
            </w:r>
          </w:p>
        </w:tc>
        <w:tc>
          <w:tcPr>
            <w:tcW w:w="1694" w:type="dxa"/>
            <w:vAlign w:val="bottom"/>
          </w:tcPr>
          <w:p w14:paraId="4576F4F8" w14:textId="28DAD796" w:rsidR="00795510" w:rsidRDefault="00795510" w:rsidP="00795510">
            <w:pPr>
              <w:spacing w:after="160" w:line="259" w:lineRule="auto"/>
            </w:pPr>
            <w:r w:rsidRPr="00D25FA0">
              <w:t>303,516,304</w:t>
            </w:r>
          </w:p>
        </w:tc>
      </w:tr>
      <w:tr w:rsidR="00795510" w14:paraId="19DC4262" w14:textId="77777777" w:rsidTr="007B6B4A">
        <w:tc>
          <w:tcPr>
            <w:tcW w:w="1704" w:type="dxa"/>
            <w:vAlign w:val="bottom"/>
          </w:tcPr>
          <w:p w14:paraId="51B6293A" w14:textId="0B9EBF06" w:rsidR="00795510" w:rsidRPr="007B6B4A" w:rsidRDefault="00795510" w:rsidP="00795510">
            <w:pPr>
              <w:spacing w:after="160" w:line="259" w:lineRule="auto"/>
            </w:pPr>
            <w:r w:rsidRPr="007B6B4A">
              <w:t>NO</w:t>
            </w:r>
            <w:r w:rsidRPr="007B6B4A">
              <w:rPr>
                <w:vertAlign w:val="subscript"/>
              </w:rPr>
              <w:t>X</w:t>
            </w:r>
          </w:p>
        </w:tc>
        <w:tc>
          <w:tcPr>
            <w:tcW w:w="1713" w:type="dxa"/>
            <w:vAlign w:val="bottom"/>
          </w:tcPr>
          <w:p w14:paraId="545880FE" w14:textId="6412F1F0" w:rsidR="00795510" w:rsidRDefault="00795510" w:rsidP="00795510">
            <w:pPr>
              <w:spacing w:after="160" w:line="259" w:lineRule="auto"/>
            </w:pPr>
            <w:r w:rsidRPr="00D25FA0">
              <w:t>36,191,633</w:t>
            </w:r>
          </w:p>
        </w:tc>
        <w:tc>
          <w:tcPr>
            <w:tcW w:w="1704" w:type="dxa"/>
            <w:vAlign w:val="center"/>
          </w:tcPr>
          <w:p w14:paraId="625971D4" w14:textId="45D87D32" w:rsidR="00795510" w:rsidRDefault="00795510" w:rsidP="00795510">
            <w:pPr>
              <w:spacing w:after="160" w:line="259" w:lineRule="auto"/>
            </w:pPr>
            <w:r w:rsidRPr="00D25FA0">
              <w:t>22,164,745</w:t>
            </w:r>
          </w:p>
        </w:tc>
        <w:tc>
          <w:tcPr>
            <w:tcW w:w="1695" w:type="dxa"/>
            <w:vAlign w:val="center"/>
          </w:tcPr>
          <w:p w14:paraId="1C70BEE4" w14:textId="1D47CE6B" w:rsidR="00795510" w:rsidRDefault="00795510" w:rsidP="00795510">
            <w:pPr>
              <w:spacing w:after="160" w:line="259" w:lineRule="auto"/>
            </w:pPr>
            <w:r w:rsidRPr="00D25FA0">
              <w:t>30,971,449</w:t>
            </w:r>
          </w:p>
        </w:tc>
        <w:tc>
          <w:tcPr>
            <w:tcW w:w="1695" w:type="dxa"/>
            <w:vAlign w:val="center"/>
          </w:tcPr>
          <w:p w14:paraId="2C57E162" w14:textId="66C69DE2" w:rsidR="00795510" w:rsidRDefault="00795510" w:rsidP="00795510">
            <w:pPr>
              <w:spacing w:after="160" w:line="259" w:lineRule="auto"/>
            </w:pPr>
            <w:r w:rsidRPr="00D25FA0">
              <w:t>20,407,757</w:t>
            </w:r>
          </w:p>
        </w:tc>
        <w:tc>
          <w:tcPr>
            <w:tcW w:w="1694" w:type="dxa"/>
            <w:vAlign w:val="bottom"/>
          </w:tcPr>
          <w:p w14:paraId="426E3B0D" w14:textId="6CA3DE16" w:rsidR="00795510" w:rsidRDefault="00795510" w:rsidP="00795510">
            <w:pPr>
              <w:spacing w:after="160" w:line="259" w:lineRule="auto"/>
            </w:pPr>
            <w:r w:rsidRPr="00D25FA0">
              <w:t>109,735,584</w:t>
            </w:r>
          </w:p>
        </w:tc>
      </w:tr>
      <w:tr w:rsidR="00795510" w14:paraId="75F7D817" w14:textId="77777777" w:rsidTr="007B6B4A">
        <w:tc>
          <w:tcPr>
            <w:tcW w:w="1704" w:type="dxa"/>
            <w:vAlign w:val="bottom"/>
          </w:tcPr>
          <w:p w14:paraId="31EB6938" w14:textId="040174B7" w:rsidR="00795510" w:rsidRPr="007B6B4A" w:rsidRDefault="00795510" w:rsidP="00795510">
            <w:pPr>
              <w:spacing w:after="160" w:line="259" w:lineRule="auto"/>
            </w:pPr>
            <w:r w:rsidRPr="007B6B4A">
              <w:t>PM</w:t>
            </w:r>
            <w:r w:rsidRPr="007B6B4A">
              <w:rPr>
                <w:vertAlign w:val="subscript"/>
              </w:rPr>
              <w:t>10</w:t>
            </w:r>
          </w:p>
        </w:tc>
        <w:tc>
          <w:tcPr>
            <w:tcW w:w="1713" w:type="dxa"/>
            <w:vAlign w:val="bottom"/>
          </w:tcPr>
          <w:p w14:paraId="2F3044FD" w14:textId="4D7D631C" w:rsidR="00795510" w:rsidRDefault="00795510" w:rsidP="00795510">
            <w:pPr>
              <w:spacing w:after="160" w:line="259" w:lineRule="auto"/>
            </w:pPr>
            <w:r>
              <w:t>N/A</w:t>
            </w:r>
          </w:p>
        </w:tc>
        <w:tc>
          <w:tcPr>
            <w:tcW w:w="1704" w:type="dxa"/>
            <w:vAlign w:val="center"/>
          </w:tcPr>
          <w:p w14:paraId="69D367DD" w14:textId="567F6130" w:rsidR="00795510" w:rsidRDefault="00795510" w:rsidP="00795510">
            <w:pPr>
              <w:spacing w:after="160" w:line="259" w:lineRule="auto"/>
            </w:pPr>
            <w:r>
              <w:t>N/A</w:t>
            </w:r>
          </w:p>
        </w:tc>
        <w:tc>
          <w:tcPr>
            <w:tcW w:w="1695" w:type="dxa"/>
            <w:vAlign w:val="center"/>
          </w:tcPr>
          <w:p w14:paraId="6E446DD6" w14:textId="68981258" w:rsidR="00795510" w:rsidRDefault="00795510" w:rsidP="00795510">
            <w:pPr>
              <w:spacing w:after="160" w:line="259" w:lineRule="auto"/>
            </w:pPr>
            <w:r>
              <w:t>N/A</w:t>
            </w:r>
          </w:p>
        </w:tc>
        <w:tc>
          <w:tcPr>
            <w:tcW w:w="1695" w:type="dxa"/>
            <w:vAlign w:val="center"/>
          </w:tcPr>
          <w:p w14:paraId="5236A1CD" w14:textId="3130BE15" w:rsidR="00795510" w:rsidRDefault="00795510" w:rsidP="00795510">
            <w:pPr>
              <w:spacing w:after="160" w:line="259" w:lineRule="auto"/>
            </w:pPr>
            <w:r>
              <w:t>N/A</w:t>
            </w:r>
          </w:p>
        </w:tc>
        <w:tc>
          <w:tcPr>
            <w:tcW w:w="1694" w:type="dxa"/>
            <w:vAlign w:val="bottom"/>
          </w:tcPr>
          <w:p w14:paraId="14EA2771" w14:textId="433BCABE" w:rsidR="00795510" w:rsidRDefault="00795510" w:rsidP="00795510">
            <w:pPr>
              <w:spacing w:after="160" w:line="259" w:lineRule="auto"/>
            </w:pPr>
            <w:r>
              <w:t>N/A</w:t>
            </w:r>
          </w:p>
        </w:tc>
      </w:tr>
      <w:tr w:rsidR="00795510" w14:paraId="023933A0" w14:textId="77777777" w:rsidTr="007B6B4A">
        <w:tc>
          <w:tcPr>
            <w:tcW w:w="1704" w:type="dxa"/>
            <w:vAlign w:val="bottom"/>
          </w:tcPr>
          <w:p w14:paraId="4029D37B" w14:textId="57DCFA0A" w:rsidR="00795510" w:rsidRPr="007B6B4A" w:rsidRDefault="00795510" w:rsidP="00795510">
            <w:pPr>
              <w:spacing w:after="160" w:line="259" w:lineRule="auto"/>
            </w:pPr>
            <w:r w:rsidRPr="007B6B4A">
              <w:t>PM</w:t>
            </w:r>
            <w:r w:rsidRPr="007B6B4A">
              <w:rPr>
                <w:vertAlign w:val="subscript"/>
              </w:rPr>
              <w:t>2.5</w:t>
            </w:r>
          </w:p>
        </w:tc>
        <w:tc>
          <w:tcPr>
            <w:tcW w:w="1713" w:type="dxa"/>
            <w:vAlign w:val="bottom"/>
          </w:tcPr>
          <w:p w14:paraId="1FA2E988" w14:textId="5371269A" w:rsidR="00795510" w:rsidRDefault="00795510" w:rsidP="00795510">
            <w:pPr>
              <w:spacing w:after="160" w:line="259" w:lineRule="auto"/>
            </w:pPr>
            <w:r w:rsidRPr="00D25FA0">
              <w:t xml:space="preserve">2,989,984 </w:t>
            </w:r>
          </w:p>
        </w:tc>
        <w:tc>
          <w:tcPr>
            <w:tcW w:w="1704" w:type="dxa"/>
            <w:vAlign w:val="center"/>
          </w:tcPr>
          <w:p w14:paraId="47E5C3B3" w14:textId="36E2BB09" w:rsidR="00795510" w:rsidRDefault="00795510" w:rsidP="00795510">
            <w:pPr>
              <w:spacing w:after="160" w:line="259" w:lineRule="auto"/>
            </w:pPr>
            <w:r w:rsidRPr="00D25FA0">
              <w:t xml:space="preserve">2,732,927 </w:t>
            </w:r>
          </w:p>
        </w:tc>
        <w:tc>
          <w:tcPr>
            <w:tcW w:w="1695" w:type="dxa"/>
            <w:vAlign w:val="center"/>
          </w:tcPr>
          <w:p w14:paraId="549173D5" w14:textId="332E20FC" w:rsidR="00795510" w:rsidRDefault="00795510" w:rsidP="00795510">
            <w:pPr>
              <w:spacing w:after="160" w:line="259" w:lineRule="auto"/>
            </w:pPr>
            <w:r w:rsidRPr="00D25FA0">
              <w:t xml:space="preserve">742,839 </w:t>
            </w:r>
          </w:p>
        </w:tc>
        <w:tc>
          <w:tcPr>
            <w:tcW w:w="1695" w:type="dxa"/>
            <w:vAlign w:val="center"/>
          </w:tcPr>
          <w:p w14:paraId="6B1588FE" w14:textId="0BB43FCA" w:rsidR="00795510" w:rsidRDefault="00795510" w:rsidP="00795510">
            <w:pPr>
              <w:spacing w:after="160" w:line="259" w:lineRule="auto"/>
            </w:pPr>
            <w:r w:rsidRPr="00D25FA0">
              <w:t xml:space="preserve">2,100,430 </w:t>
            </w:r>
          </w:p>
        </w:tc>
        <w:tc>
          <w:tcPr>
            <w:tcW w:w="1694" w:type="dxa"/>
            <w:vAlign w:val="bottom"/>
          </w:tcPr>
          <w:p w14:paraId="34357794" w14:textId="1CFFCC80" w:rsidR="00795510" w:rsidRDefault="00795510" w:rsidP="00795510">
            <w:pPr>
              <w:spacing w:after="160" w:line="259" w:lineRule="auto"/>
            </w:pPr>
            <w:r w:rsidRPr="00D25FA0">
              <w:t>8,566,180</w:t>
            </w:r>
          </w:p>
        </w:tc>
      </w:tr>
      <w:tr w:rsidR="00795510" w14:paraId="26A5B6BA" w14:textId="77777777" w:rsidTr="007B6B4A">
        <w:tc>
          <w:tcPr>
            <w:tcW w:w="1704" w:type="dxa"/>
            <w:vAlign w:val="bottom"/>
          </w:tcPr>
          <w:p w14:paraId="677E1FD8" w14:textId="61149D01" w:rsidR="00795510" w:rsidRPr="007B6B4A" w:rsidRDefault="00795510" w:rsidP="00795510">
            <w:pPr>
              <w:spacing w:after="160" w:line="259" w:lineRule="auto"/>
            </w:pPr>
            <w:r w:rsidRPr="007B6B4A">
              <w:t>Total</w:t>
            </w:r>
          </w:p>
        </w:tc>
        <w:tc>
          <w:tcPr>
            <w:tcW w:w="1713" w:type="dxa"/>
            <w:vAlign w:val="bottom"/>
          </w:tcPr>
          <w:p w14:paraId="6C988D71" w14:textId="6ED8254C" w:rsidR="00795510" w:rsidRDefault="00795510" w:rsidP="00795510">
            <w:pPr>
              <w:spacing w:after="160" w:line="259" w:lineRule="auto"/>
            </w:pPr>
            <w:r w:rsidRPr="00D25FA0">
              <w:t>84,759,210</w:t>
            </w:r>
          </w:p>
        </w:tc>
        <w:tc>
          <w:tcPr>
            <w:tcW w:w="1704" w:type="dxa"/>
            <w:vAlign w:val="bottom"/>
          </w:tcPr>
          <w:p w14:paraId="33770F14" w14:textId="751BD110" w:rsidR="00795510" w:rsidRDefault="00795510" w:rsidP="00795510">
            <w:pPr>
              <w:spacing w:after="160" w:line="259" w:lineRule="auto"/>
            </w:pPr>
            <w:r w:rsidRPr="00D25FA0">
              <w:t>81,882,470</w:t>
            </w:r>
          </w:p>
        </w:tc>
        <w:tc>
          <w:tcPr>
            <w:tcW w:w="1695" w:type="dxa"/>
            <w:vAlign w:val="bottom"/>
          </w:tcPr>
          <w:p w14:paraId="798A42CF" w14:textId="473047C7" w:rsidR="00795510" w:rsidRDefault="00795510" w:rsidP="00795510">
            <w:pPr>
              <w:spacing w:after="160" w:line="259" w:lineRule="auto"/>
            </w:pPr>
            <w:r w:rsidRPr="00D25FA0">
              <w:t>171,213,267</w:t>
            </w:r>
          </w:p>
        </w:tc>
        <w:tc>
          <w:tcPr>
            <w:tcW w:w="1695" w:type="dxa"/>
            <w:vAlign w:val="bottom"/>
          </w:tcPr>
          <w:p w14:paraId="48320984" w14:textId="223E659A" w:rsidR="00795510" w:rsidRDefault="00795510" w:rsidP="00795510">
            <w:pPr>
              <w:spacing w:after="160" w:line="259" w:lineRule="auto"/>
            </w:pPr>
            <w:r w:rsidRPr="00D25FA0">
              <w:t>83,963,121</w:t>
            </w:r>
          </w:p>
        </w:tc>
        <w:tc>
          <w:tcPr>
            <w:tcW w:w="1694" w:type="dxa"/>
            <w:vAlign w:val="bottom"/>
          </w:tcPr>
          <w:p w14:paraId="42A3F2C8" w14:textId="4ECC8349" w:rsidR="00795510" w:rsidRDefault="00795510" w:rsidP="00795510">
            <w:pPr>
              <w:spacing w:after="160" w:line="259" w:lineRule="auto"/>
            </w:pPr>
            <w:r w:rsidRPr="00D25FA0">
              <w:rPr>
                <w:b/>
              </w:rPr>
              <w:t>421,818,068</w:t>
            </w:r>
          </w:p>
        </w:tc>
      </w:tr>
    </w:tbl>
    <w:p w14:paraId="727AA148" w14:textId="77777777" w:rsidR="00D11FE1" w:rsidRDefault="00D11FE1" w:rsidP="00067DAC"/>
    <w:p w14:paraId="033F9900" w14:textId="613BC1A3" w:rsidR="00D11FE1" w:rsidRPr="00D11FE1" w:rsidRDefault="00D11FE1" w:rsidP="00067DAC">
      <w:r>
        <w:t>Table A-3 again uses the damage costs reported in Parry et al. (2014) for the pollutants SO</w:t>
      </w:r>
      <w:r w:rsidRPr="00D11FE1">
        <w:rPr>
          <w:vertAlign w:val="subscript"/>
        </w:rPr>
        <w:t>2</w:t>
      </w:r>
      <w:r>
        <w:t xml:space="preserve"> and NO</w:t>
      </w:r>
      <w:r w:rsidRPr="00D11FE1">
        <w:rPr>
          <w:vertAlign w:val="subscript"/>
        </w:rPr>
        <w:t>X</w:t>
      </w:r>
      <w:r>
        <w:t xml:space="preserve"> and applies these values to the NPI 2016/17 emissions data. However, for PM</w:t>
      </w:r>
      <w:r w:rsidRPr="00D11FE1">
        <w:rPr>
          <w:vertAlign w:val="subscript"/>
        </w:rPr>
        <w:t xml:space="preserve">2.5 </w:t>
      </w:r>
      <w:r>
        <w:t>pollutants, the damage cost reported in a PAE Holmes (2013) study</w:t>
      </w:r>
      <w:r w:rsidR="00E35298">
        <w:t xml:space="preserve"> prepared for the NSW EPA have</w:t>
      </w:r>
      <w:r>
        <w:t xml:space="preserve"> been applied. The damage costs for PM</w:t>
      </w:r>
      <w:r w:rsidRPr="00D11FE1">
        <w:rPr>
          <w:vertAlign w:val="subscript"/>
        </w:rPr>
        <w:t xml:space="preserve">2.5 </w:t>
      </w:r>
      <w:r>
        <w:t xml:space="preserve">that are reported in the PAE Holmes study </w:t>
      </w:r>
      <w:r w:rsidR="00ED2582">
        <w:t xml:space="preserve">are based on </w:t>
      </w:r>
      <w:r w:rsidR="00656AE3">
        <w:t xml:space="preserve">ABS </w:t>
      </w:r>
      <w:r w:rsidR="00ED2582">
        <w:t xml:space="preserve">Statistical Urban Areas (SUAs), and so the values utilised in Table A-3 are </w:t>
      </w:r>
      <w:r w:rsidR="00E35298">
        <w:t xml:space="preserve">more </w:t>
      </w:r>
      <w:r w:rsidR="00ED2582">
        <w:t xml:space="preserve">specific to the population densities of </w:t>
      </w:r>
      <w:r w:rsidR="0060732A">
        <w:t xml:space="preserve">Traralgon-Morwell and Moe-Newborough, where Victoria’s coal-fired power stations are located. </w:t>
      </w:r>
      <w:r w:rsidR="007E27FB">
        <w:t xml:space="preserve">It should be noted that the </w:t>
      </w:r>
      <w:r w:rsidR="0028490E">
        <w:t xml:space="preserve">damage costs used in the PAE Holmes study were adjusted from UK data which related to transport. </w:t>
      </w:r>
      <w:r w:rsidR="00B52B60">
        <w:t>The UK study notes that power plants’ emissions have lower damage costs compared to transport, due to the high stack</w:t>
      </w:r>
      <w:r w:rsidR="00581BE4">
        <w:t xml:space="preserve"> heights</w:t>
      </w:r>
      <w:r w:rsidR="00831C5A">
        <w:t xml:space="preserve">. The study estimates this difference results in damage costs </w:t>
      </w:r>
      <w:r w:rsidR="00581BE4">
        <w:t>equivalent to approximately</w:t>
      </w:r>
      <w:r w:rsidR="005C7915">
        <w:t xml:space="preserve"> 5 per cent of the cost per tonne of PM</w:t>
      </w:r>
      <w:r w:rsidR="005C7915" w:rsidRPr="00581BE4">
        <w:rPr>
          <w:vertAlign w:val="subscript"/>
        </w:rPr>
        <w:t xml:space="preserve">2.5 </w:t>
      </w:r>
      <w:r w:rsidR="005C7915">
        <w:t>related to transport. Therefore, the figures in Table A-3 for PM</w:t>
      </w:r>
      <w:r w:rsidR="005C7915" w:rsidRPr="00581BE4">
        <w:rPr>
          <w:vertAlign w:val="subscript"/>
        </w:rPr>
        <w:t xml:space="preserve">2.5 </w:t>
      </w:r>
      <w:r w:rsidR="00EE5F01">
        <w:t xml:space="preserve">have been </w:t>
      </w:r>
      <w:r w:rsidR="00C63D2D">
        <w:t>adjusted to take this into account.</w:t>
      </w:r>
    </w:p>
    <w:p w14:paraId="07F096F2" w14:textId="31F7EA91" w:rsidR="00E74F94" w:rsidRDefault="00D11FE1" w:rsidP="00E74F94">
      <w:pPr>
        <w:pStyle w:val="Caption"/>
      </w:pPr>
      <w:r>
        <w:t xml:space="preserve">Table A-3 </w:t>
      </w:r>
      <w:r w:rsidR="00E74F94" w:rsidRPr="004531C4">
        <w:t>Total health costs from brown coal fired power stations, Vict</w:t>
      </w:r>
      <w:r w:rsidR="007B6B4A">
        <w:t>oria (AUD$2018</w:t>
      </w:r>
      <w:r w:rsidR="00E74F94" w:rsidRPr="004531C4">
        <w:t>)</w:t>
      </w:r>
      <w:r>
        <w:t xml:space="preserve"> – Parry et al. &amp; PAE Holmes damage costs</w:t>
      </w:r>
    </w:p>
    <w:tbl>
      <w:tblPr>
        <w:tblStyle w:val="TableGrid"/>
        <w:tblW w:w="10348" w:type="dxa"/>
        <w:tblLook w:val="04A0" w:firstRow="1" w:lastRow="0" w:firstColumn="1" w:lastColumn="0" w:noHBand="0" w:noVBand="1"/>
      </w:tblPr>
      <w:tblGrid>
        <w:gridCol w:w="1843"/>
        <w:gridCol w:w="1701"/>
        <w:gridCol w:w="1701"/>
        <w:gridCol w:w="1701"/>
        <w:gridCol w:w="1701"/>
        <w:gridCol w:w="1701"/>
      </w:tblGrid>
      <w:tr w:rsidR="00795510" w14:paraId="6725EE11" w14:textId="77777777" w:rsidTr="00D11FE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843" w:type="dxa"/>
            <w:vAlign w:val="bottom"/>
          </w:tcPr>
          <w:p w14:paraId="78B2C0A5" w14:textId="6A5D48EE" w:rsidR="00795510" w:rsidRPr="007B6B4A" w:rsidRDefault="00795510" w:rsidP="00D11FE1">
            <w:pPr>
              <w:spacing w:after="160" w:line="259" w:lineRule="auto"/>
              <w:ind w:right="-148"/>
            </w:pPr>
            <w:r w:rsidRPr="007B6B4A">
              <w:t>Pollutant</w:t>
            </w:r>
          </w:p>
        </w:tc>
        <w:tc>
          <w:tcPr>
            <w:tcW w:w="1701" w:type="dxa"/>
            <w:vAlign w:val="bottom"/>
          </w:tcPr>
          <w:p w14:paraId="7C9578F1" w14:textId="17C3C1F5" w:rsidR="00795510" w:rsidRPr="007B6B4A" w:rsidRDefault="00795510" w:rsidP="00795510">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Hazelwood</w:t>
            </w:r>
          </w:p>
        </w:tc>
        <w:tc>
          <w:tcPr>
            <w:tcW w:w="1701" w:type="dxa"/>
            <w:vAlign w:val="bottom"/>
          </w:tcPr>
          <w:p w14:paraId="0D4DB143" w14:textId="4BF49245" w:rsidR="00795510" w:rsidRPr="007B6B4A" w:rsidRDefault="00795510" w:rsidP="00795510">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Yallourn</w:t>
            </w:r>
          </w:p>
        </w:tc>
        <w:tc>
          <w:tcPr>
            <w:tcW w:w="1701" w:type="dxa"/>
            <w:vAlign w:val="bottom"/>
          </w:tcPr>
          <w:p w14:paraId="7896069E" w14:textId="009C38BD" w:rsidR="00795510" w:rsidRPr="007B6B4A" w:rsidRDefault="00795510" w:rsidP="00795510">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A</w:t>
            </w:r>
          </w:p>
        </w:tc>
        <w:tc>
          <w:tcPr>
            <w:tcW w:w="1701" w:type="dxa"/>
            <w:vAlign w:val="bottom"/>
          </w:tcPr>
          <w:p w14:paraId="2E88CCD7" w14:textId="04394BB5" w:rsidR="00795510" w:rsidRPr="007B6B4A" w:rsidRDefault="00795510" w:rsidP="00795510">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B</w:t>
            </w:r>
          </w:p>
        </w:tc>
        <w:tc>
          <w:tcPr>
            <w:tcW w:w="1701" w:type="dxa"/>
            <w:vAlign w:val="bottom"/>
          </w:tcPr>
          <w:p w14:paraId="51272E3E" w14:textId="251A1634" w:rsidR="00795510" w:rsidRPr="007B6B4A" w:rsidRDefault="00795510" w:rsidP="00795510">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Total</w:t>
            </w:r>
          </w:p>
        </w:tc>
      </w:tr>
      <w:tr w:rsidR="00795510" w14:paraId="2F0870D0" w14:textId="77777777" w:rsidTr="00D11FE1">
        <w:tc>
          <w:tcPr>
            <w:tcW w:w="1843" w:type="dxa"/>
            <w:vAlign w:val="bottom"/>
          </w:tcPr>
          <w:p w14:paraId="352AF172" w14:textId="70EC070E" w:rsidR="00795510" w:rsidRPr="00D11FE1" w:rsidRDefault="00795510" w:rsidP="00795510">
            <w:pPr>
              <w:spacing w:after="160" w:line="259" w:lineRule="auto"/>
            </w:pPr>
            <w:r w:rsidRPr="007B6B4A">
              <w:t>SO</w:t>
            </w:r>
            <w:r w:rsidRPr="007B6B4A">
              <w:rPr>
                <w:vertAlign w:val="subscript"/>
              </w:rPr>
              <w:t>2</w:t>
            </w:r>
            <w:r w:rsidR="00D11FE1">
              <w:rPr>
                <w:vertAlign w:val="subscript"/>
              </w:rPr>
              <w:t xml:space="preserve"> </w:t>
            </w:r>
            <w:r w:rsidR="00D11FE1">
              <w:t>(Parry)</w:t>
            </w:r>
          </w:p>
        </w:tc>
        <w:tc>
          <w:tcPr>
            <w:tcW w:w="1701" w:type="dxa"/>
            <w:vAlign w:val="bottom"/>
          </w:tcPr>
          <w:p w14:paraId="4B7D7223" w14:textId="4E14668C" w:rsidR="00795510" w:rsidRDefault="00795510" w:rsidP="00795510">
            <w:pPr>
              <w:spacing w:after="160" w:line="259" w:lineRule="auto"/>
            </w:pPr>
            <w:r w:rsidRPr="00D25FA0">
              <w:t>45,577,593</w:t>
            </w:r>
          </w:p>
        </w:tc>
        <w:tc>
          <w:tcPr>
            <w:tcW w:w="1701" w:type="dxa"/>
            <w:vAlign w:val="center"/>
          </w:tcPr>
          <w:p w14:paraId="26908CBF" w14:textId="7FAED728" w:rsidR="00795510" w:rsidRDefault="00795510" w:rsidP="00795510">
            <w:pPr>
              <w:spacing w:after="160" w:line="259" w:lineRule="auto"/>
            </w:pPr>
            <w:r w:rsidRPr="00D25FA0">
              <w:t>56,984,798</w:t>
            </w:r>
          </w:p>
        </w:tc>
        <w:tc>
          <w:tcPr>
            <w:tcW w:w="1701" w:type="dxa"/>
            <w:vAlign w:val="center"/>
          </w:tcPr>
          <w:p w14:paraId="127441AC" w14:textId="7181129D" w:rsidR="00795510" w:rsidRDefault="00795510" w:rsidP="00795510">
            <w:pPr>
              <w:spacing w:after="160" w:line="259" w:lineRule="auto"/>
            </w:pPr>
            <w:r w:rsidRPr="00D25FA0">
              <w:t>139,498,979</w:t>
            </w:r>
          </w:p>
        </w:tc>
        <w:tc>
          <w:tcPr>
            <w:tcW w:w="1701" w:type="dxa"/>
            <w:vAlign w:val="center"/>
          </w:tcPr>
          <w:p w14:paraId="11082580" w14:textId="7FB3FF40" w:rsidR="00795510" w:rsidRDefault="00795510" w:rsidP="00795510">
            <w:pPr>
              <w:spacing w:after="160" w:line="259" w:lineRule="auto"/>
            </w:pPr>
            <w:r w:rsidRPr="00D25FA0">
              <w:t>61,454,934</w:t>
            </w:r>
          </w:p>
        </w:tc>
        <w:tc>
          <w:tcPr>
            <w:tcW w:w="1701" w:type="dxa"/>
            <w:vAlign w:val="bottom"/>
          </w:tcPr>
          <w:p w14:paraId="009353F4" w14:textId="375441F2" w:rsidR="00795510" w:rsidRDefault="00795510" w:rsidP="00795510">
            <w:pPr>
              <w:spacing w:after="160" w:line="259" w:lineRule="auto"/>
            </w:pPr>
            <w:r w:rsidRPr="00D25FA0">
              <w:t>303,516,304</w:t>
            </w:r>
          </w:p>
        </w:tc>
      </w:tr>
      <w:tr w:rsidR="00795510" w14:paraId="6B0B6882" w14:textId="77777777" w:rsidTr="00D11FE1">
        <w:tc>
          <w:tcPr>
            <w:tcW w:w="1843" w:type="dxa"/>
            <w:vAlign w:val="bottom"/>
          </w:tcPr>
          <w:p w14:paraId="71DCA5BD" w14:textId="23B6B77B" w:rsidR="00795510" w:rsidRPr="00D11FE1" w:rsidRDefault="00795510" w:rsidP="00795510">
            <w:pPr>
              <w:spacing w:after="160" w:line="259" w:lineRule="auto"/>
            </w:pPr>
            <w:r w:rsidRPr="007B6B4A">
              <w:t>NO</w:t>
            </w:r>
            <w:r w:rsidRPr="007B6B4A">
              <w:rPr>
                <w:vertAlign w:val="subscript"/>
              </w:rPr>
              <w:t>X</w:t>
            </w:r>
            <w:r w:rsidR="00D11FE1">
              <w:rPr>
                <w:vertAlign w:val="subscript"/>
              </w:rPr>
              <w:t xml:space="preserve"> </w:t>
            </w:r>
            <w:r w:rsidR="00D11FE1">
              <w:t>(Parry)</w:t>
            </w:r>
          </w:p>
        </w:tc>
        <w:tc>
          <w:tcPr>
            <w:tcW w:w="1701" w:type="dxa"/>
            <w:vAlign w:val="bottom"/>
          </w:tcPr>
          <w:p w14:paraId="38CF489F" w14:textId="6A2E52E3" w:rsidR="00795510" w:rsidRDefault="00795510" w:rsidP="00795510">
            <w:pPr>
              <w:spacing w:after="160" w:line="259" w:lineRule="auto"/>
            </w:pPr>
            <w:r w:rsidRPr="00D25FA0">
              <w:t>36,191,633</w:t>
            </w:r>
          </w:p>
        </w:tc>
        <w:tc>
          <w:tcPr>
            <w:tcW w:w="1701" w:type="dxa"/>
            <w:vAlign w:val="center"/>
          </w:tcPr>
          <w:p w14:paraId="0321CEDC" w14:textId="0E2EBE09" w:rsidR="00795510" w:rsidRDefault="00795510" w:rsidP="00795510">
            <w:pPr>
              <w:spacing w:after="160" w:line="259" w:lineRule="auto"/>
            </w:pPr>
            <w:r w:rsidRPr="00D25FA0">
              <w:t>22,164,745</w:t>
            </w:r>
          </w:p>
        </w:tc>
        <w:tc>
          <w:tcPr>
            <w:tcW w:w="1701" w:type="dxa"/>
            <w:vAlign w:val="center"/>
          </w:tcPr>
          <w:p w14:paraId="43099242" w14:textId="323D2481" w:rsidR="00795510" w:rsidRDefault="00795510" w:rsidP="00795510">
            <w:pPr>
              <w:spacing w:after="160" w:line="259" w:lineRule="auto"/>
            </w:pPr>
            <w:r w:rsidRPr="00D25FA0">
              <w:t>30,971,449</w:t>
            </w:r>
          </w:p>
        </w:tc>
        <w:tc>
          <w:tcPr>
            <w:tcW w:w="1701" w:type="dxa"/>
            <w:vAlign w:val="center"/>
          </w:tcPr>
          <w:p w14:paraId="613CBAA1" w14:textId="6EAE3C68" w:rsidR="00795510" w:rsidRDefault="00795510" w:rsidP="00795510">
            <w:pPr>
              <w:spacing w:after="160" w:line="259" w:lineRule="auto"/>
            </w:pPr>
            <w:r w:rsidRPr="00D25FA0">
              <w:t>20,407,757</w:t>
            </w:r>
          </w:p>
        </w:tc>
        <w:tc>
          <w:tcPr>
            <w:tcW w:w="1701" w:type="dxa"/>
            <w:vAlign w:val="bottom"/>
          </w:tcPr>
          <w:p w14:paraId="71D09C5C" w14:textId="2D504FED" w:rsidR="00795510" w:rsidRDefault="00795510" w:rsidP="00795510">
            <w:pPr>
              <w:spacing w:after="160" w:line="259" w:lineRule="auto"/>
            </w:pPr>
            <w:r w:rsidRPr="00D25FA0">
              <w:t>109,735,584</w:t>
            </w:r>
          </w:p>
        </w:tc>
      </w:tr>
      <w:tr w:rsidR="00795510" w14:paraId="13DC40F9" w14:textId="77777777" w:rsidTr="00D11FE1">
        <w:tc>
          <w:tcPr>
            <w:tcW w:w="1843" w:type="dxa"/>
            <w:vAlign w:val="bottom"/>
          </w:tcPr>
          <w:p w14:paraId="2FB5436E" w14:textId="596C3194" w:rsidR="00795510" w:rsidRPr="00D11FE1" w:rsidRDefault="00795510" w:rsidP="00795510">
            <w:pPr>
              <w:spacing w:after="160" w:line="259" w:lineRule="auto"/>
            </w:pPr>
            <w:r w:rsidRPr="007B6B4A">
              <w:t>PM</w:t>
            </w:r>
            <w:r w:rsidRPr="007B6B4A">
              <w:rPr>
                <w:vertAlign w:val="subscript"/>
              </w:rPr>
              <w:t>10</w:t>
            </w:r>
            <w:r w:rsidR="00D11FE1">
              <w:rPr>
                <w:vertAlign w:val="subscript"/>
              </w:rPr>
              <w:t xml:space="preserve"> </w:t>
            </w:r>
            <w:r w:rsidR="00D11FE1">
              <w:t>(Parry)</w:t>
            </w:r>
          </w:p>
        </w:tc>
        <w:tc>
          <w:tcPr>
            <w:tcW w:w="1701" w:type="dxa"/>
            <w:vAlign w:val="bottom"/>
          </w:tcPr>
          <w:p w14:paraId="57E8A4B5" w14:textId="78892BE0" w:rsidR="00795510" w:rsidRDefault="00795510" w:rsidP="00795510">
            <w:pPr>
              <w:spacing w:after="160" w:line="259" w:lineRule="auto"/>
            </w:pPr>
            <w:r>
              <w:t>N/A</w:t>
            </w:r>
          </w:p>
        </w:tc>
        <w:tc>
          <w:tcPr>
            <w:tcW w:w="1701" w:type="dxa"/>
            <w:vAlign w:val="center"/>
          </w:tcPr>
          <w:p w14:paraId="1303941D" w14:textId="2F545F06" w:rsidR="00795510" w:rsidRDefault="00795510" w:rsidP="00795510">
            <w:pPr>
              <w:spacing w:after="160" w:line="259" w:lineRule="auto"/>
            </w:pPr>
            <w:r>
              <w:t>N/A</w:t>
            </w:r>
          </w:p>
        </w:tc>
        <w:tc>
          <w:tcPr>
            <w:tcW w:w="1701" w:type="dxa"/>
            <w:vAlign w:val="center"/>
          </w:tcPr>
          <w:p w14:paraId="0B55E6A5" w14:textId="60D36182" w:rsidR="00795510" w:rsidRDefault="00795510" w:rsidP="00795510">
            <w:pPr>
              <w:spacing w:after="160" w:line="259" w:lineRule="auto"/>
            </w:pPr>
            <w:r>
              <w:t>N/A</w:t>
            </w:r>
          </w:p>
        </w:tc>
        <w:tc>
          <w:tcPr>
            <w:tcW w:w="1701" w:type="dxa"/>
            <w:vAlign w:val="center"/>
          </w:tcPr>
          <w:p w14:paraId="797DEDB4" w14:textId="67A69BC7" w:rsidR="00795510" w:rsidRDefault="00795510" w:rsidP="00795510">
            <w:pPr>
              <w:spacing w:after="160" w:line="259" w:lineRule="auto"/>
            </w:pPr>
            <w:r>
              <w:t>N/A</w:t>
            </w:r>
          </w:p>
        </w:tc>
        <w:tc>
          <w:tcPr>
            <w:tcW w:w="1701" w:type="dxa"/>
            <w:vAlign w:val="bottom"/>
          </w:tcPr>
          <w:p w14:paraId="6F150135" w14:textId="2E92426B" w:rsidR="00795510" w:rsidRDefault="00795510" w:rsidP="00795510">
            <w:pPr>
              <w:spacing w:after="160" w:line="259" w:lineRule="auto"/>
            </w:pPr>
            <w:r>
              <w:t>N/A</w:t>
            </w:r>
          </w:p>
        </w:tc>
      </w:tr>
      <w:tr w:rsidR="00B058A6" w14:paraId="22C7E200" w14:textId="77777777" w:rsidTr="00FB312A">
        <w:tc>
          <w:tcPr>
            <w:tcW w:w="1843" w:type="dxa"/>
            <w:vAlign w:val="bottom"/>
          </w:tcPr>
          <w:p w14:paraId="03B54789" w14:textId="5D514116" w:rsidR="00B058A6" w:rsidRPr="00D11FE1" w:rsidRDefault="00B058A6" w:rsidP="00B058A6">
            <w:pPr>
              <w:spacing w:after="160" w:line="259" w:lineRule="auto"/>
            </w:pPr>
            <w:r w:rsidRPr="007B6B4A">
              <w:t>PM</w:t>
            </w:r>
            <w:r w:rsidRPr="007B6B4A">
              <w:rPr>
                <w:vertAlign w:val="subscript"/>
              </w:rPr>
              <w:t>2.5</w:t>
            </w:r>
            <w:r>
              <w:rPr>
                <w:vertAlign w:val="subscript"/>
              </w:rPr>
              <w:t xml:space="preserve"> </w:t>
            </w:r>
            <w:r>
              <w:t>(PAE Holmes)</w:t>
            </w:r>
          </w:p>
        </w:tc>
        <w:tc>
          <w:tcPr>
            <w:tcW w:w="1701" w:type="dxa"/>
          </w:tcPr>
          <w:p w14:paraId="5C85F349" w14:textId="29F07B28" w:rsidR="00B058A6" w:rsidRDefault="00B058A6" w:rsidP="00B058A6">
            <w:pPr>
              <w:spacing w:after="160" w:line="259" w:lineRule="auto"/>
            </w:pPr>
            <w:r w:rsidRPr="001D4E67">
              <w:t xml:space="preserve"> 2,365,303 </w:t>
            </w:r>
          </w:p>
        </w:tc>
        <w:tc>
          <w:tcPr>
            <w:tcW w:w="1701" w:type="dxa"/>
          </w:tcPr>
          <w:p w14:paraId="19D33148" w14:textId="7AB73846" w:rsidR="00B058A6" w:rsidRDefault="00B058A6" w:rsidP="00B058A6">
            <w:pPr>
              <w:spacing w:after="160" w:line="259" w:lineRule="auto"/>
            </w:pPr>
            <w:r w:rsidRPr="001D4E67">
              <w:t xml:space="preserve"> 2,023,954 </w:t>
            </w:r>
          </w:p>
        </w:tc>
        <w:tc>
          <w:tcPr>
            <w:tcW w:w="1701" w:type="dxa"/>
          </w:tcPr>
          <w:p w14:paraId="56165100" w14:textId="56CA49E0" w:rsidR="00B058A6" w:rsidRDefault="00B058A6" w:rsidP="00B058A6">
            <w:pPr>
              <w:spacing w:after="160" w:line="259" w:lineRule="auto"/>
            </w:pPr>
            <w:r w:rsidRPr="001D4E67">
              <w:t xml:space="preserve"> 1,369,949 </w:t>
            </w:r>
          </w:p>
        </w:tc>
        <w:tc>
          <w:tcPr>
            <w:tcW w:w="1701" w:type="dxa"/>
          </w:tcPr>
          <w:p w14:paraId="312E4F88" w14:textId="527DE04C" w:rsidR="00B058A6" w:rsidRDefault="00B058A6" w:rsidP="00B058A6">
            <w:pPr>
              <w:spacing w:after="160" w:line="259" w:lineRule="auto"/>
            </w:pPr>
            <w:r w:rsidRPr="001D4E67">
              <w:t xml:space="preserve"> 1,661,599 </w:t>
            </w:r>
          </w:p>
        </w:tc>
        <w:tc>
          <w:tcPr>
            <w:tcW w:w="1701" w:type="dxa"/>
            <w:vAlign w:val="bottom"/>
          </w:tcPr>
          <w:p w14:paraId="58ADE8C6" w14:textId="15C3D190" w:rsidR="00B058A6" w:rsidRDefault="007D00DB" w:rsidP="00B058A6">
            <w:pPr>
              <w:spacing w:after="160" w:line="259" w:lineRule="auto"/>
            </w:pPr>
            <w:r w:rsidRPr="007D00DB">
              <w:t>7,420,805</w:t>
            </w:r>
          </w:p>
        </w:tc>
      </w:tr>
      <w:tr w:rsidR="00795510" w14:paraId="65258490" w14:textId="77777777" w:rsidTr="00D11FE1">
        <w:tc>
          <w:tcPr>
            <w:tcW w:w="1843" w:type="dxa"/>
            <w:vAlign w:val="bottom"/>
          </w:tcPr>
          <w:p w14:paraId="6935ED51" w14:textId="04BDDCF7" w:rsidR="00795510" w:rsidRPr="007B6B4A" w:rsidRDefault="00795510" w:rsidP="00795510">
            <w:pPr>
              <w:spacing w:after="160" w:line="259" w:lineRule="auto"/>
            </w:pPr>
            <w:r w:rsidRPr="007B6B4A">
              <w:t>Total</w:t>
            </w:r>
          </w:p>
        </w:tc>
        <w:tc>
          <w:tcPr>
            <w:tcW w:w="1701" w:type="dxa"/>
            <w:vAlign w:val="bottom"/>
          </w:tcPr>
          <w:p w14:paraId="54DE3C07" w14:textId="02D297AC" w:rsidR="00795510" w:rsidRDefault="00795510" w:rsidP="00795510">
            <w:pPr>
              <w:spacing w:after="160" w:line="259" w:lineRule="auto"/>
            </w:pPr>
            <w:r w:rsidRPr="00D25FA0">
              <w:t>129,075,284</w:t>
            </w:r>
          </w:p>
        </w:tc>
        <w:tc>
          <w:tcPr>
            <w:tcW w:w="1701" w:type="dxa"/>
            <w:vAlign w:val="bottom"/>
          </w:tcPr>
          <w:p w14:paraId="6CB1BF31" w14:textId="64114DD7" w:rsidR="00795510" w:rsidRDefault="00795510" w:rsidP="00795510">
            <w:pPr>
              <w:spacing w:after="160" w:line="259" w:lineRule="auto"/>
            </w:pPr>
            <w:r w:rsidRPr="00D25FA0">
              <w:t>119,628,627</w:t>
            </w:r>
          </w:p>
        </w:tc>
        <w:tc>
          <w:tcPr>
            <w:tcW w:w="1701" w:type="dxa"/>
            <w:vAlign w:val="bottom"/>
          </w:tcPr>
          <w:p w14:paraId="7A00B528" w14:textId="06E41F55" w:rsidR="00795510" w:rsidRDefault="00795510" w:rsidP="00795510">
            <w:pPr>
              <w:spacing w:after="160" w:line="259" w:lineRule="auto"/>
            </w:pPr>
            <w:r w:rsidRPr="00D25FA0">
              <w:t>197,869,412</w:t>
            </w:r>
          </w:p>
        </w:tc>
        <w:tc>
          <w:tcPr>
            <w:tcW w:w="1701" w:type="dxa"/>
            <w:vAlign w:val="bottom"/>
          </w:tcPr>
          <w:p w14:paraId="0832B134" w14:textId="7892AB69" w:rsidR="00795510" w:rsidRDefault="00795510" w:rsidP="00795510">
            <w:pPr>
              <w:spacing w:after="160" w:line="259" w:lineRule="auto"/>
            </w:pPr>
            <w:r w:rsidRPr="00D25FA0">
              <w:t>115,094,662</w:t>
            </w:r>
          </w:p>
        </w:tc>
        <w:tc>
          <w:tcPr>
            <w:tcW w:w="1701" w:type="dxa"/>
            <w:vAlign w:val="bottom"/>
          </w:tcPr>
          <w:p w14:paraId="1BC4BA23" w14:textId="255E6890" w:rsidR="00795510" w:rsidRDefault="007D00DB" w:rsidP="00795510">
            <w:pPr>
              <w:spacing w:after="160" w:line="259" w:lineRule="auto"/>
            </w:pPr>
            <w:r w:rsidRPr="007D00DB">
              <w:rPr>
                <w:b/>
              </w:rPr>
              <w:t>420,672,693</w:t>
            </w:r>
          </w:p>
        </w:tc>
      </w:tr>
    </w:tbl>
    <w:p w14:paraId="745871FA" w14:textId="3B9748F9" w:rsidR="00795510" w:rsidRDefault="00795510" w:rsidP="00795510">
      <w:pPr>
        <w:spacing w:after="160" w:line="259" w:lineRule="auto"/>
      </w:pPr>
    </w:p>
    <w:p w14:paraId="1FDA96A1" w14:textId="39E786F1" w:rsidR="0060732A" w:rsidRPr="00D25FA0" w:rsidRDefault="0060732A" w:rsidP="0060732A">
      <w:pPr>
        <w:pStyle w:val="Heading3"/>
        <w:rPr>
          <w:b w:val="0"/>
        </w:rPr>
      </w:pPr>
      <w:r>
        <w:t>Total health costs utilising damage costs per MWh and</w:t>
      </w:r>
      <w:r w:rsidRPr="00D25FA0">
        <w:t xml:space="preserve"> 2016/17 </w:t>
      </w:r>
      <w:r>
        <w:t>CER electricity generation data</w:t>
      </w:r>
    </w:p>
    <w:p w14:paraId="78A20F4C" w14:textId="395E2F6F" w:rsidR="00967FFB" w:rsidRDefault="0060732A" w:rsidP="00795510">
      <w:pPr>
        <w:spacing w:after="160" w:line="259" w:lineRule="auto"/>
      </w:pPr>
      <w:r>
        <w:t>Table A-4 presents the total health costs for the electricity sector when applying the damage costs from the ATSE (2009) report. This study covered damage costs for SO</w:t>
      </w:r>
      <w:r w:rsidRPr="0060732A">
        <w:rPr>
          <w:vertAlign w:val="subscript"/>
        </w:rPr>
        <w:t>2</w:t>
      </w:r>
      <w:r>
        <w:t>, NO</w:t>
      </w:r>
      <w:r w:rsidRPr="0060732A">
        <w:rPr>
          <w:vertAlign w:val="subscript"/>
        </w:rPr>
        <w:t>x</w:t>
      </w:r>
      <w:r>
        <w:t xml:space="preserve"> and PM</w:t>
      </w:r>
      <w:r w:rsidRPr="0060732A">
        <w:rPr>
          <w:vertAlign w:val="subscript"/>
        </w:rPr>
        <w:t>10</w:t>
      </w:r>
      <w:r>
        <w:t xml:space="preserve"> pollutants, and the damage cost values are an Australian national average</w:t>
      </w:r>
      <w:r w:rsidR="009C7E4E">
        <w:t xml:space="preserve"> which have been adjusted from European damage cost estimates</w:t>
      </w:r>
      <w:r>
        <w:t xml:space="preserve">. </w:t>
      </w:r>
    </w:p>
    <w:p w14:paraId="00E5E55B" w14:textId="25439DFE" w:rsidR="00E74F94" w:rsidRDefault="0060732A" w:rsidP="00E74F94">
      <w:pPr>
        <w:pStyle w:val="Caption"/>
      </w:pPr>
      <w:r>
        <w:t xml:space="preserve">Table A-4 </w:t>
      </w:r>
      <w:r w:rsidR="00E74F94" w:rsidRPr="00D07822">
        <w:t xml:space="preserve">Total health costs from brown coal fired power </w:t>
      </w:r>
      <w:r w:rsidR="007B6B4A">
        <w:t>stations, Victoria (AUD$2018</w:t>
      </w:r>
      <w:r w:rsidR="00E74F94" w:rsidRPr="00D07822">
        <w:t>)</w:t>
      </w:r>
      <w:r>
        <w:t xml:space="preserve"> - ATSE</w:t>
      </w:r>
    </w:p>
    <w:tbl>
      <w:tblPr>
        <w:tblStyle w:val="TableGrid"/>
        <w:tblW w:w="0" w:type="auto"/>
        <w:tblLook w:val="04A0" w:firstRow="1" w:lastRow="0" w:firstColumn="1" w:lastColumn="0" w:noHBand="0" w:noVBand="1"/>
      </w:tblPr>
      <w:tblGrid>
        <w:gridCol w:w="1700"/>
        <w:gridCol w:w="1701"/>
        <w:gridCol w:w="1701"/>
        <w:gridCol w:w="1701"/>
        <w:gridCol w:w="1701"/>
        <w:gridCol w:w="1701"/>
      </w:tblGrid>
      <w:tr w:rsidR="00E74F94" w14:paraId="3A4A3252" w14:textId="77777777" w:rsidTr="00E74F9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0" w:type="dxa"/>
            <w:vAlign w:val="bottom"/>
          </w:tcPr>
          <w:p w14:paraId="4042EA23" w14:textId="1E8B8220" w:rsidR="00E74F94" w:rsidRPr="007B6B4A" w:rsidRDefault="00E74F94" w:rsidP="00E74F94">
            <w:pPr>
              <w:spacing w:after="160" w:line="259" w:lineRule="auto"/>
            </w:pPr>
            <w:r w:rsidRPr="007B6B4A">
              <w:t>Pollutant</w:t>
            </w:r>
          </w:p>
        </w:tc>
        <w:tc>
          <w:tcPr>
            <w:tcW w:w="1701" w:type="dxa"/>
            <w:vAlign w:val="bottom"/>
          </w:tcPr>
          <w:p w14:paraId="621D1EAC" w14:textId="690BD965"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Hazelwood</w:t>
            </w:r>
          </w:p>
        </w:tc>
        <w:tc>
          <w:tcPr>
            <w:tcW w:w="1701" w:type="dxa"/>
            <w:vAlign w:val="bottom"/>
          </w:tcPr>
          <w:p w14:paraId="122EA426" w14:textId="069FD462"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Yallourn</w:t>
            </w:r>
          </w:p>
        </w:tc>
        <w:tc>
          <w:tcPr>
            <w:tcW w:w="1701" w:type="dxa"/>
            <w:vAlign w:val="bottom"/>
          </w:tcPr>
          <w:p w14:paraId="225BFC5B" w14:textId="3CA35B2A"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A</w:t>
            </w:r>
          </w:p>
        </w:tc>
        <w:tc>
          <w:tcPr>
            <w:tcW w:w="1701" w:type="dxa"/>
            <w:vAlign w:val="bottom"/>
          </w:tcPr>
          <w:p w14:paraId="3DECEB87" w14:textId="61ED3080"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B</w:t>
            </w:r>
          </w:p>
        </w:tc>
        <w:tc>
          <w:tcPr>
            <w:tcW w:w="1701" w:type="dxa"/>
            <w:vAlign w:val="bottom"/>
          </w:tcPr>
          <w:p w14:paraId="451463EC" w14:textId="636A7AF6"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Total</w:t>
            </w:r>
          </w:p>
        </w:tc>
      </w:tr>
      <w:tr w:rsidR="00E74F94" w:rsidRPr="007B6B4A" w14:paraId="03F522B3" w14:textId="77777777" w:rsidTr="00E74F94">
        <w:tc>
          <w:tcPr>
            <w:tcW w:w="1700" w:type="dxa"/>
            <w:vAlign w:val="bottom"/>
          </w:tcPr>
          <w:p w14:paraId="4B79489C" w14:textId="06FC0EC1" w:rsidR="00E74F94" w:rsidRPr="007B6B4A" w:rsidRDefault="00E74F94" w:rsidP="00E74F94">
            <w:pPr>
              <w:spacing w:after="160" w:line="259" w:lineRule="auto"/>
            </w:pPr>
            <w:r w:rsidRPr="007B6B4A">
              <w:t>SO</w:t>
            </w:r>
            <w:r w:rsidRPr="007B6B4A">
              <w:rPr>
                <w:vertAlign w:val="subscript"/>
              </w:rPr>
              <w:t>2</w:t>
            </w:r>
          </w:p>
        </w:tc>
        <w:tc>
          <w:tcPr>
            <w:tcW w:w="1701" w:type="dxa"/>
            <w:vAlign w:val="bottom"/>
          </w:tcPr>
          <w:p w14:paraId="06E353D4" w14:textId="0ECEBE5C" w:rsidR="00E74F94" w:rsidRPr="007B6B4A" w:rsidRDefault="00E74F94" w:rsidP="00E74F94">
            <w:pPr>
              <w:spacing w:after="160" w:line="259" w:lineRule="auto"/>
            </w:pPr>
            <w:r w:rsidRPr="007B6B4A">
              <w:t>72,096,882</w:t>
            </w:r>
          </w:p>
        </w:tc>
        <w:tc>
          <w:tcPr>
            <w:tcW w:w="1701" w:type="dxa"/>
            <w:vAlign w:val="center"/>
          </w:tcPr>
          <w:p w14:paraId="5A13A69C" w14:textId="2C698466" w:rsidR="00E74F94" w:rsidRPr="007B6B4A" w:rsidRDefault="00E74F94" w:rsidP="00E74F94">
            <w:pPr>
              <w:spacing w:after="160" w:line="259" w:lineRule="auto"/>
            </w:pPr>
            <w:r w:rsidRPr="007B6B4A">
              <w:t>107,429,298</w:t>
            </w:r>
          </w:p>
        </w:tc>
        <w:tc>
          <w:tcPr>
            <w:tcW w:w="1701" w:type="dxa"/>
            <w:vAlign w:val="center"/>
          </w:tcPr>
          <w:p w14:paraId="3EEB8A29" w14:textId="670900A3" w:rsidR="00E74F94" w:rsidRPr="007B6B4A" w:rsidRDefault="00E74F94" w:rsidP="00E74F94">
            <w:pPr>
              <w:spacing w:after="160" w:line="259" w:lineRule="auto"/>
            </w:pPr>
            <w:r w:rsidRPr="007B6B4A">
              <w:t>148,733,620</w:t>
            </w:r>
          </w:p>
        </w:tc>
        <w:tc>
          <w:tcPr>
            <w:tcW w:w="1701" w:type="dxa"/>
            <w:vAlign w:val="center"/>
          </w:tcPr>
          <w:p w14:paraId="6D20186A" w14:textId="5F6A6745" w:rsidR="00E74F94" w:rsidRPr="007B6B4A" w:rsidRDefault="00E74F94" w:rsidP="00E74F94">
            <w:pPr>
              <w:spacing w:after="160" w:line="259" w:lineRule="auto"/>
            </w:pPr>
            <w:r w:rsidRPr="007B6B4A">
              <w:t>80,261,850</w:t>
            </w:r>
          </w:p>
        </w:tc>
        <w:tc>
          <w:tcPr>
            <w:tcW w:w="1701" w:type="dxa"/>
            <w:vAlign w:val="bottom"/>
          </w:tcPr>
          <w:p w14:paraId="03558C54" w14:textId="1008BE27" w:rsidR="00E74F94" w:rsidRPr="007B6B4A" w:rsidRDefault="00E74F94" w:rsidP="00E74F94">
            <w:pPr>
              <w:spacing w:after="160" w:line="259" w:lineRule="auto"/>
            </w:pPr>
            <w:r w:rsidRPr="007B6B4A">
              <w:t>408,521,650</w:t>
            </w:r>
          </w:p>
        </w:tc>
      </w:tr>
      <w:tr w:rsidR="00E74F94" w:rsidRPr="007B6B4A" w14:paraId="20B4CBFF" w14:textId="77777777" w:rsidTr="00E74F94">
        <w:tc>
          <w:tcPr>
            <w:tcW w:w="1700" w:type="dxa"/>
            <w:vAlign w:val="bottom"/>
          </w:tcPr>
          <w:p w14:paraId="6E40D8A2" w14:textId="3A7389DA" w:rsidR="00E74F94" w:rsidRPr="007B6B4A" w:rsidRDefault="00E74F94" w:rsidP="00E74F94">
            <w:pPr>
              <w:spacing w:after="160" w:line="259" w:lineRule="auto"/>
            </w:pPr>
            <w:r w:rsidRPr="007B6B4A">
              <w:t>NO</w:t>
            </w:r>
            <w:r w:rsidRPr="007B6B4A">
              <w:rPr>
                <w:vertAlign w:val="subscript"/>
              </w:rPr>
              <w:t>X</w:t>
            </w:r>
          </w:p>
        </w:tc>
        <w:tc>
          <w:tcPr>
            <w:tcW w:w="1701" w:type="dxa"/>
            <w:vAlign w:val="bottom"/>
          </w:tcPr>
          <w:p w14:paraId="48C3B41D" w14:textId="7D7C460F" w:rsidR="00E74F94" w:rsidRPr="007B6B4A" w:rsidRDefault="00E74F94" w:rsidP="00E74F94">
            <w:pPr>
              <w:spacing w:after="160" w:line="259" w:lineRule="auto"/>
            </w:pPr>
            <w:r w:rsidRPr="007B6B4A">
              <w:t>39,843,014</w:t>
            </w:r>
          </w:p>
        </w:tc>
        <w:tc>
          <w:tcPr>
            <w:tcW w:w="1701" w:type="dxa"/>
            <w:vAlign w:val="center"/>
          </w:tcPr>
          <w:p w14:paraId="16E1A0B8" w14:textId="2398B3CC" w:rsidR="00E74F94" w:rsidRPr="007B6B4A" w:rsidRDefault="00E74F94" w:rsidP="00E74F94">
            <w:pPr>
              <w:spacing w:after="160" w:line="259" w:lineRule="auto"/>
            </w:pPr>
            <w:r w:rsidRPr="007B6B4A">
              <w:t>59,368,823</w:t>
            </w:r>
          </w:p>
        </w:tc>
        <w:tc>
          <w:tcPr>
            <w:tcW w:w="1701" w:type="dxa"/>
            <w:vAlign w:val="center"/>
          </w:tcPr>
          <w:p w14:paraId="68DF60B3" w14:textId="343666D0" w:rsidR="00E74F94" w:rsidRPr="007B6B4A" w:rsidRDefault="00E74F94" w:rsidP="00E74F94">
            <w:pPr>
              <w:spacing w:after="160" w:line="259" w:lineRule="auto"/>
            </w:pPr>
            <w:r w:rsidRPr="007B6B4A">
              <w:t>82,194,895</w:t>
            </w:r>
          </w:p>
        </w:tc>
        <w:tc>
          <w:tcPr>
            <w:tcW w:w="1701" w:type="dxa"/>
            <w:vAlign w:val="center"/>
          </w:tcPr>
          <w:p w14:paraId="5C8D9329" w14:textId="2612FAE7" w:rsidR="00E74F94" w:rsidRPr="007B6B4A" w:rsidRDefault="00E74F94" w:rsidP="00E74F94">
            <w:pPr>
              <w:spacing w:after="160" w:line="259" w:lineRule="auto"/>
            </w:pPr>
            <w:r w:rsidRPr="007B6B4A">
              <w:t>44,355,233</w:t>
            </w:r>
          </w:p>
        </w:tc>
        <w:tc>
          <w:tcPr>
            <w:tcW w:w="1701" w:type="dxa"/>
            <w:vAlign w:val="bottom"/>
          </w:tcPr>
          <w:p w14:paraId="3E536775" w14:textId="41303261" w:rsidR="00E74F94" w:rsidRPr="007B6B4A" w:rsidRDefault="00E74F94" w:rsidP="00E74F94">
            <w:pPr>
              <w:spacing w:after="160" w:line="259" w:lineRule="auto"/>
            </w:pPr>
            <w:r w:rsidRPr="007B6B4A">
              <w:t>225,761,965</w:t>
            </w:r>
          </w:p>
        </w:tc>
      </w:tr>
      <w:tr w:rsidR="00E74F94" w:rsidRPr="007B6B4A" w14:paraId="51090502" w14:textId="77777777" w:rsidTr="00E74F94">
        <w:tc>
          <w:tcPr>
            <w:tcW w:w="1700" w:type="dxa"/>
            <w:vAlign w:val="bottom"/>
          </w:tcPr>
          <w:p w14:paraId="5302BCF8" w14:textId="7109917F" w:rsidR="00E74F94" w:rsidRPr="007B6B4A" w:rsidRDefault="00E74F94" w:rsidP="00E74F94">
            <w:pPr>
              <w:spacing w:after="160" w:line="259" w:lineRule="auto"/>
            </w:pPr>
            <w:r w:rsidRPr="007B6B4A">
              <w:t>PM</w:t>
            </w:r>
            <w:r w:rsidRPr="007B6B4A">
              <w:rPr>
                <w:vertAlign w:val="subscript"/>
              </w:rPr>
              <w:t>10</w:t>
            </w:r>
          </w:p>
        </w:tc>
        <w:tc>
          <w:tcPr>
            <w:tcW w:w="1701" w:type="dxa"/>
            <w:vAlign w:val="bottom"/>
          </w:tcPr>
          <w:p w14:paraId="2B184CF0" w14:textId="171FA24F" w:rsidR="00E74F94" w:rsidRPr="007B6B4A" w:rsidRDefault="00E74F94" w:rsidP="00E74F94">
            <w:pPr>
              <w:spacing w:after="160" w:line="259" w:lineRule="auto"/>
            </w:pPr>
            <w:r w:rsidRPr="007B6B4A">
              <w:t>13,281,005</w:t>
            </w:r>
          </w:p>
        </w:tc>
        <w:tc>
          <w:tcPr>
            <w:tcW w:w="1701" w:type="dxa"/>
            <w:vAlign w:val="center"/>
          </w:tcPr>
          <w:p w14:paraId="5E4C5AAB" w14:textId="33A27D34" w:rsidR="00E74F94" w:rsidRPr="007B6B4A" w:rsidRDefault="00E74F94" w:rsidP="00E74F94">
            <w:pPr>
              <w:spacing w:after="160" w:line="259" w:lineRule="auto"/>
            </w:pPr>
            <w:r w:rsidRPr="007B6B4A">
              <w:t>19,789,608</w:t>
            </w:r>
          </w:p>
        </w:tc>
        <w:tc>
          <w:tcPr>
            <w:tcW w:w="1701" w:type="dxa"/>
            <w:vAlign w:val="center"/>
          </w:tcPr>
          <w:p w14:paraId="323F36E7" w14:textId="7BA9F8D2" w:rsidR="00E74F94" w:rsidRPr="007B6B4A" w:rsidRDefault="00E74F94" w:rsidP="00E74F94">
            <w:pPr>
              <w:spacing w:after="160" w:line="259" w:lineRule="auto"/>
            </w:pPr>
            <w:r w:rsidRPr="007B6B4A">
              <w:t>27,398,298</w:t>
            </w:r>
          </w:p>
        </w:tc>
        <w:tc>
          <w:tcPr>
            <w:tcW w:w="1701" w:type="dxa"/>
            <w:vAlign w:val="center"/>
          </w:tcPr>
          <w:p w14:paraId="3E29FB28" w14:textId="42BB94B0" w:rsidR="00E74F94" w:rsidRPr="007B6B4A" w:rsidRDefault="00E74F94" w:rsidP="00E74F94">
            <w:pPr>
              <w:spacing w:after="160" w:line="259" w:lineRule="auto"/>
            </w:pPr>
            <w:r w:rsidRPr="007B6B4A">
              <w:t>14,785,078</w:t>
            </w:r>
          </w:p>
        </w:tc>
        <w:tc>
          <w:tcPr>
            <w:tcW w:w="1701" w:type="dxa"/>
            <w:vAlign w:val="bottom"/>
          </w:tcPr>
          <w:p w14:paraId="6B95130F" w14:textId="3143FC47" w:rsidR="00E74F94" w:rsidRPr="00E35298" w:rsidRDefault="00E74F94" w:rsidP="00E74F94">
            <w:pPr>
              <w:spacing w:after="160" w:line="259" w:lineRule="auto"/>
              <w:rPr>
                <w:b/>
              </w:rPr>
            </w:pPr>
            <w:r w:rsidRPr="00E35298">
              <w:rPr>
                <w:b/>
              </w:rPr>
              <w:t>75,253,988</w:t>
            </w:r>
          </w:p>
        </w:tc>
      </w:tr>
      <w:tr w:rsidR="00E74F94" w:rsidRPr="007B6B4A" w14:paraId="34C917F1" w14:textId="77777777" w:rsidTr="00E74F94">
        <w:tc>
          <w:tcPr>
            <w:tcW w:w="1700" w:type="dxa"/>
            <w:vAlign w:val="bottom"/>
          </w:tcPr>
          <w:p w14:paraId="6212008E" w14:textId="18320F8E" w:rsidR="00E74F94" w:rsidRPr="007B6B4A" w:rsidRDefault="00E74F94" w:rsidP="00E74F94">
            <w:pPr>
              <w:spacing w:after="160" w:line="259" w:lineRule="auto"/>
            </w:pPr>
            <w:r w:rsidRPr="007B6B4A">
              <w:t>PM</w:t>
            </w:r>
            <w:r w:rsidRPr="007B6B4A">
              <w:rPr>
                <w:vertAlign w:val="subscript"/>
              </w:rPr>
              <w:t>2.5</w:t>
            </w:r>
          </w:p>
        </w:tc>
        <w:tc>
          <w:tcPr>
            <w:tcW w:w="1701" w:type="dxa"/>
            <w:vAlign w:val="bottom"/>
          </w:tcPr>
          <w:p w14:paraId="67AC37D4" w14:textId="1905CD60" w:rsidR="00E74F94" w:rsidRPr="007B6B4A" w:rsidRDefault="0060732A" w:rsidP="00E74F94">
            <w:pPr>
              <w:spacing w:after="160" w:line="259" w:lineRule="auto"/>
            </w:pPr>
            <w:r>
              <w:t>N/A</w:t>
            </w:r>
          </w:p>
        </w:tc>
        <w:tc>
          <w:tcPr>
            <w:tcW w:w="1701" w:type="dxa"/>
            <w:vAlign w:val="center"/>
          </w:tcPr>
          <w:p w14:paraId="54E69D9A" w14:textId="2FC90C75" w:rsidR="00E74F94" w:rsidRPr="007B6B4A" w:rsidRDefault="0060732A" w:rsidP="00E74F94">
            <w:pPr>
              <w:spacing w:after="160" w:line="259" w:lineRule="auto"/>
            </w:pPr>
            <w:r>
              <w:t>N/A</w:t>
            </w:r>
          </w:p>
        </w:tc>
        <w:tc>
          <w:tcPr>
            <w:tcW w:w="1701" w:type="dxa"/>
            <w:vAlign w:val="center"/>
          </w:tcPr>
          <w:p w14:paraId="2E38F1C4" w14:textId="61F90273" w:rsidR="00E74F94" w:rsidRPr="007B6B4A" w:rsidRDefault="0060732A" w:rsidP="00E74F94">
            <w:pPr>
              <w:spacing w:after="160" w:line="259" w:lineRule="auto"/>
            </w:pPr>
            <w:r>
              <w:t>N/A</w:t>
            </w:r>
          </w:p>
        </w:tc>
        <w:tc>
          <w:tcPr>
            <w:tcW w:w="1701" w:type="dxa"/>
            <w:vAlign w:val="center"/>
          </w:tcPr>
          <w:p w14:paraId="599FB75B" w14:textId="20871550" w:rsidR="00E74F94" w:rsidRPr="007B6B4A" w:rsidRDefault="0060732A" w:rsidP="00E74F94">
            <w:pPr>
              <w:spacing w:after="160" w:line="259" w:lineRule="auto"/>
            </w:pPr>
            <w:r>
              <w:t>N/A</w:t>
            </w:r>
          </w:p>
        </w:tc>
        <w:tc>
          <w:tcPr>
            <w:tcW w:w="1701" w:type="dxa"/>
            <w:vAlign w:val="bottom"/>
          </w:tcPr>
          <w:p w14:paraId="5F49FF04" w14:textId="2818C475" w:rsidR="00E74F94" w:rsidRPr="007B6B4A" w:rsidRDefault="0060732A" w:rsidP="00E74F94">
            <w:pPr>
              <w:spacing w:after="160" w:line="259" w:lineRule="auto"/>
            </w:pPr>
            <w:r>
              <w:t>N/A</w:t>
            </w:r>
          </w:p>
        </w:tc>
      </w:tr>
      <w:tr w:rsidR="00E74F94" w:rsidRPr="007B6B4A" w14:paraId="582902DE" w14:textId="77777777" w:rsidTr="00E74F94">
        <w:tc>
          <w:tcPr>
            <w:tcW w:w="1700" w:type="dxa"/>
            <w:vAlign w:val="bottom"/>
          </w:tcPr>
          <w:p w14:paraId="21A84A13" w14:textId="27D3646F" w:rsidR="00E74F94" w:rsidRPr="007B6B4A" w:rsidRDefault="00E74F94" w:rsidP="00E74F94">
            <w:pPr>
              <w:spacing w:after="160" w:line="259" w:lineRule="auto"/>
            </w:pPr>
            <w:r w:rsidRPr="007B6B4A">
              <w:t>Total</w:t>
            </w:r>
          </w:p>
        </w:tc>
        <w:tc>
          <w:tcPr>
            <w:tcW w:w="1701" w:type="dxa"/>
            <w:vAlign w:val="bottom"/>
          </w:tcPr>
          <w:p w14:paraId="502E865B" w14:textId="73C0BBC8" w:rsidR="00E74F94" w:rsidRPr="007B6B4A" w:rsidRDefault="00E74F94" w:rsidP="00E74F94">
            <w:pPr>
              <w:spacing w:after="160" w:line="259" w:lineRule="auto"/>
            </w:pPr>
            <w:r w:rsidRPr="007B6B4A">
              <w:t>125,220,900</w:t>
            </w:r>
          </w:p>
        </w:tc>
        <w:tc>
          <w:tcPr>
            <w:tcW w:w="1701" w:type="dxa"/>
            <w:vAlign w:val="bottom"/>
          </w:tcPr>
          <w:p w14:paraId="23E52787" w14:textId="43F0D01B" w:rsidR="00E74F94" w:rsidRPr="007B6B4A" w:rsidRDefault="00E74F94" w:rsidP="00E74F94">
            <w:pPr>
              <w:spacing w:after="160" w:line="259" w:lineRule="auto"/>
            </w:pPr>
            <w:r w:rsidRPr="007B6B4A">
              <w:t>186,587,728</w:t>
            </w:r>
          </w:p>
        </w:tc>
        <w:tc>
          <w:tcPr>
            <w:tcW w:w="1701" w:type="dxa"/>
            <w:vAlign w:val="bottom"/>
          </w:tcPr>
          <w:p w14:paraId="292A310C" w14:textId="086C7DBE" w:rsidR="00E74F94" w:rsidRPr="007B6B4A" w:rsidRDefault="00E74F94" w:rsidP="00E74F94">
            <w:pPr>
              <w:spacing w:after="160" w:line="259" w:lineRule="auto"/>
            </w:pPr>
            <w:r w:rsidRPr="007B6B4A">
              <w:t>258,326,814</w:t>
            </w:r>
          </w:p>
        </w:tc>
        <w:tc>
          <w:tcPr>
            <w:tcW w:w="1701" w:type="dxa"/>
            <w:vAlign w:val="bottom"/>
          </w:tcPr>
          <w:p w14:paraId="52A86C61" w14:textId="4520A502" w:rsidR="00E74F94" w:rsidRPr="007B6B4A" w:rsidRDefault="00E74F94" w:rsidP="00E74F94">
            <w:pPr>
              <w:spacing w:after="160" w:line="259" w:lineRule="auto"/>
            </w:pPr>
            <w:r w:rsidRPr="007B6B4A">
              <w:t>139,402,160</w:t>
            </w:r>
          </w:p>
        </w:tc>
        <w:tc>
          <w:tcPr>
            <w:tcW w:w="1701" w:type="dxa"/>
            <w:vAlign w:val="bottom"/>
          </w:tcPr>
          <w:p w14:paraId="2252A8F8" w14:textId="10672668" w:rsidR="00E74F94" w:rsidRPr="002B130A" w:rsidRDefault="00E74F94" w:rsidP="00E74F94">
            <w:pPr>
              <w:spacing w:after="160" w:line="259" w:lineRule="auto"/>
              <w:rPr>
                <w:b/>
              </w:rPr>
            </w:pPr>
            <w:r w:rsidRPr="002B130A">
              <w:rPr>
                <w:b/>
              </w:rPr>
              <w:t>709,537,603</w:t>
            </w:r>
          </w:p>
        </w:tc>
      </w:tr>
    </w:tbl>
    <w:p w14:paraId="5CE72CE2" w14:textId="77777777" w:rsidR="00E74F94" w:rsidRPr="007B6B4A" w:rsidRDefault="00E74F94" w:rsidP="00E74F94">
      <w:pPr>
        <w:spacing w:after="160" w:line="259" w:lineRule="auto"/>
      </w:pPr>
    </w:p>
    <w:p w14:paraId="4FAD288B" w14:textId="4AEA491B" w:rsidR="003F2DF9" w:rsidRDefault="00235987" w:rsidP="00505CEC">
      <w:r>
        <w:t xml:space="preserve">Table A-5 presents </w:t>
      </w:r>
      <w:r w:rsidR="003F2DF9">
        <w:t>total health costs for the electricity sector when applying damage cost values per MWh from the Ward &amp; Power (2015) study. This study included damage costs for SO</w:t>
      </w:r>
      <w:r w:rsidR="003F2DF9" w:rsidRPr="003F2DF9">
        <w:rPr>
          <w:vertAlign w:val="subscript"/>
        </w:rPr>
        <w:t>2</w:t>
      </w:r>
      <w:r w:rsidR="003F2DF9">
        <w:t>, NO</w:t>
      </w:r>
      <w:r w:rsidR="003F2DF9" w:rsidRPr="003F2DF9">
        <w:rPr>
          <w:vertAlign w:val="subscript"/>
        </w:rPr>
        <w:t>x</w:t>
      </w:r>
      <w:r w:rsidR="003F2DF9">
        <w:t>, PM</w:t>
      </w:r>
      <w:r w:rsidR="003F2DF9" w:rsidRPr="003F2DF9">
        <w:rPr>
          <w:vertAlign w:val="subscript"/>
        </w:rPr>
        <w:t>10</w:t>
      </w:r>
      <w:r w:rsidR="003F2DF9">
        <w:t xml:space="preserve"> and PM</w:t>
      </w:r>
      <w:r w:rsidR="003F2DF9" w:rsidRPr="003F2DF9">
        <w:rPr>
          <w:vertAlign w:val="subscript"/>
        </w:rPr>
        <w:t>2.5</w:t>
      </w:r>
      <w:r w:rsidR="003F2DF9" w:rsidRPr="003F2DF9">
        <w:t xml:space="preserve"> </w:t>
      </w:r>
      <w:r w:rsidR="003F2DF9">
        <w:t>for Hazelwood power station, and total overall damage costs per MWh for the Yallourn, Loy Yang A and Loy Yang B power stations.</w:t>
      </w:r>
      <w:r w:rsidR="002B130A">
        <w:t xml:space="preserve"> As discussed in this</w:t>
      </w:r>
      <w:r w:rsidR="003F2DF9">
        <w:t xml:space="preserve"> paper, these damage costs have been </w:t>
      </w:r>
      <w:r w:rsidR="002B130A">
        <w:t>taken from a US study and adapted to the Australian context.</w:t>
      </w:r>
    </w:p>
    <w:p w14:paraId="7F038BAF" w14:textId="7EEAE5C3" w:rsidR="00A854E1" w:rsidRDefault="00235987" w:rsidP="00A854E1">
      <w:pPr>
        <w:pStyle w:val="Caption"/>
      </w:pPr>
      <w:r>
        <w:t xml:space="preserve">Table A-5 </w:t>
      </w:r>
      <w:r w:rsidR="00A854E1" w:rsidRPr="00EA71AA">
        <w:t xml:space="preserve">Total health costs from brown coal fired power </w:t>
      </w:r>
      <w:r w:rsidR="007B6B4A">
        <w:t>stations, Victoria (AUD$2018</w:t>
      </w:r>
      <w:r w:rsidR="00A854E1" w:rsidRPr="00EA71AA">
        <w:t>)</w:t>
      </w:r>
      <w:r>
        <w:t xml:space="preserve"> – Ward &amp; Power</w:t>
      </w:r>
    </w:p>
    <w:tbl>
      <w:tblPr>
        <w:tblStyle w:val="TableGrid"/>
        <w:tblW w:w="0" w:type="auto"/>
        <w:tblLook w:val="04A0" w:firstRow="1" w:lastRow="0" w:firstColumn="1" w:lastColumn="0" w:noHBand="0" w:noVBand="1"/>
      </w:tblPr>
      <w:tblGrid>
        <w:gridCol w:w="1700"/>
        <w:gridCol w:w="1701"/>
        <w:gridCol w:w="1701"/>
        <w:gridCol w:w="1701"/>
        <w:gridCol w:w="1701"/>
        <w:gridCol w:w="1701"/>
      </w:tblGrid>
      <w:tr w:rsidR="00E74F94" w14:paraId="2F4C0468" w14:textId="77777777" w:rsidTr="00E74F94">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0" w:type="dxa"/>
            <w:vAlign w:val="bottom"/>
          </w:tcPr>
          <w:p w14:paraId="79F3C661" w14:textId="407062B1" w:rsidR="00E74F94" w:rsidRPr="007B6B4A" w:rsidRDefault="00E74F94" w:rsidP="00E74F94">
            <w:pPr>
              <w:spacing w:after="160" w:line="259" w:lineRule="auto"/>
            </w:pPr>
            <w:r w:rsidRPr="007B6B4A">
              <w:t>Pollutant</w:t>
            </w:r>
          </w:p>
        </w:tc>
        <w:tc>
          <w:tcPr>
            <w:tcW w:w="1701" w:type="dxa"/>
            <w:vAlign w:val="bottom"/>
          </w:tcPr>
          <w:p w14:paraId="180E6D07" w14:textId="3286F0DA"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Hazelwood</w:t>
            </w:r>
          </w:p>
        </w:tc>
        <w:tc>
          <w:tcPr>
            <w:tcW w:w="1701" w:type="dxa"/>
            <w:vAlign w:val="bottom"/>
          </w:tcPr>
          <w:p w14:paraId="7C796DB2" w14:textId="7DD298C8"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Yallourn</w:t>
            </w:r>
          </w:p>
        </w:tc>
        <w:tc>
          <w:tcPr>
            <w:tcW w:w="1701" w:type="dxa"/>
            <w:vAlign w:val="bottom"/>
          </w:tcPr>
          <w:p w14:paraId="597242CB" w14:textId="133C3CB3"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A</w:t>
            </w:r>
          </w:p>
        </w:tc>
        <w:tc>
          <w:tcPr>
            <w:tcW w:w="1701" w:type="dxa"/>
            <w:vAlign w:val="bottom"/>
          </w:tcPr>
          <w:p w14:paraId="0F794CC7" w14:textId="08F1653D"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B</w:t>
            </w:r>
          </w:p>
        </w:tc>
        <w:tc>
          <w:tcPr>
            <w:tcW w:w="1701" w:type="dxa"/>
            <w:vAlign w:val="bottom"/>
          </w:tcPr>
          <w:p w14:paraId="3B831867" w14:textId="2FC59034" w:rsidR="00E74F94" w:rsidRPr="007B6B4A" w:rsidRDefault="00E74F94" w:rsidP="00E74F94">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Total</w:t>
            </w:r>
          </w:p>
        </w:tc>
      </w:tr>
      <w:tr w:rsidR="00E74F94" w14:paraId="332204AB" w14:textId="77777777" w:rsidTr="00E74F94">
        <w:tc>
          <w:tcPr>
            <w:tcW w:w="1700" w:type="dxa"/>
            <w:vAlign w:val="bottom"/>
          </w:tcPr>
          <w:p w14:paraId="1251CD38" w14:textId="4939F9D3" w:rsidR="00E74F94" w:rsidRPr="007B6B4A" w:rsidRDefault="00E74F94" w:rsidP="00E74F94">
            <w:pPr>
              <w:spacing w:after="160" w:line="259" w:lineRule="auto"/>
            </w:pPr>
            <w:r w:rsidRPr="007B6B4A">
              <w:t>SO</w:t>
            </w:r>
            <w:r w:rsidRPr="007B6B4A">
              <w:rPr>
                <w:vertAlign w:val="subscript"/>
              </w:rPr>
              <w:t>2</w:t>
            </w:r>
          </w:p>
        </w:tc>
        <w:tc>
          <w:tcPr>
            <w:tcW w:w="1701" w:type="dxa"/>
            <w:vAlign w:val="bottom"/>
          </w:tcPr>
          <w:p w14:paraId="673AA31A" w14:textId="5031F2D0" w:rsidR="00E74F94" w:rsidRDefault="00E74F94" w:rsidP="00E74F94">
            <w:pPr>
              <w:spacing w:after="160" w:line="259" w:lineRule="auto"/>
            </w:pPr>
            <w:r w:rsidRPr="00D25FA0">
              <w:t>39,384,086</w:t>
            </w:r>
          </w:p>
        </w:tc>
        <w:tc>
          <w:tcPr>
            <w:tcW w:w="1701" w:type="dxa"/>
            <w:vAlign w:val="center"/>
          </w:tcPr>
          <w:p w14:paraId="4F8FFA68" w14:textId="77777777" w:rsidR="00E74F94" w:rsidRDefault="00E74F94" w:rsidP="00E74F94">
            <w:pPr>
              <w:spacing w:after="160" w:line="259" w:lineRule="auto"/>
            </w:pPr>
          </w:p>
        </w:tc>
        <w:tc>
          <w:tcPr>
            <w:tcW w:w="1701" w:type="dxa"/>
            <w:vAlign w:val="center"/>
          </w:tcPr>
          <w:p w14:paraId="61863914" w14:textId="77777777" w:rsidR="00E74F94" w:rsidRDefault="00E74F94" w:rsidP="00E74F94">
            <w:pPr>
              <w:spacing w:after="160" w:line="259" w:lineRule="auto"/>
            </w:pPr>
          </w:p>
        </w:tc>
        <w:tc>
          <w:tcPr>
            <w:tcW w:w="1701" w:type="dxa"/>
            <w:vAlign w:val="center"/>
          </w:tcPr>
          <w:p w14:paraId="7548912C" w14:textId="77777777" w:rsidR="00E74F94" w:rsidRDefault="00E74F94" w:rsidP="00E74F94">
            <w:pPr>
              <w:spacing w:after="160" w:line="259" w:lineRule="auto"/>
            </w:pPr>
          </w:p>
        </w:tc>
        <w:tc>
          <w:tcPr>
            <w:tcW w:w="1701" w:type="dxa"/>
            <w:vAlign w:val="bottom"/>
          </w:tcPr>
          <w:p w14:paraId="7BF64E2D" w14:textId="273CE344" w:rsidR="00E74F94" w:rsidRDefault="00E74F94" w:rsidP="00E74F94">
            <w:pPr>
              <w:spacing w:after="160" w:line="259" w:lineRule="auto"/>
            </w:pPr>
            <w:r w:rsidRPr="00D25FA0">
              <w:t> </w:t>
            </w:r>
          </w:p>
        </w:tc>
      </w:tr>
      <w:tr w:rsidR="00E74F94" w14:paraId="3DACEC6E" w14:textId="77777777" w:rsidTr="00E74F94">
        <w:tc>
          <w:tcPr>
            <w:tcW w:w="1700" w:type="dxa"/>
            <w:vAlign w:val="bottom"/>
          </w:tcPr>
          <w:p w14:paraId="3B19D263" w14:textId="65E7690A" w:rsidR="00E74F94" w:rsidRPr="007B6B4A" w:rsidRDefault="00E74F94" w:rsidP="00E74F94">
            <w:pPr>
              <w:spacing w:after="160" w:line="259" w:lineRule="auto"/>
            </w:pPr>
            <w:r w:rsidRPr="007B6B4A">
              <w:t>NO</w:t>
            </w:r>
            <w:r w:rsidRPr="007B6B4A">
              <w:rPr>
                <w:vertAlign w:val="subscript"/>
              </w:rPr>
              <w:t>X</w:t>
            </w:r>
          </w:p>
        </w:tc>
        <w:tc>
          <w:tcPr>
            <w:tcW w:w="1701" w:type="dxa"/>
            <w:vAlign w:val="bottom"/>
          </w:tcPr>
          <w:p w14:paraId="68A8F7A1" w14:textId="79B58D74" w:rsidR="00E74F94" w:rsidRDefault="00E74F94" w:rsidP="00E74F94">
            <w:pPr>
              <w:spacing w:after="160" w:line="259" w:lineRule="auto"/>
            </w:pPr>
            <w:r w:rsidRPr="00D25FA0">
              <w:t>22,189,371</w:t>
            </w:r>
          </w:p>
        </w:tc>
        <w:tc>
          <w:tcPr>
            <w:tcW w:w="1701" w:type="dxa"/>
            <w:vAlign w:val="center"/>
          </w:tcPr>
          <w:p w14:paraId="3530C942" w14:textId="77777777" w:rsidR="00E74F94" w:rsidRDefault="00E74F94" w:rsidP="00E74F94">
            <w:pPr>
              <w:spacing w:after="160" w:line="259" w:lineRule="auto"/>
            </w:pPr>
          </w:p>
        </w:tc>
        <w:tc>
          <w:tcPr>
            <w:tcW w:w="1701" w:type="dxa"/>
            <w:vAlign w:val="center"/>
          </w:tcPr>
          <w:p w14:paraId="2BA5C6CA" w14:textId="77777777" w:rsidR="00E74F94" w:rsidRDefault="00E74F94" w:rsidP="00E74F94">
            <w:pPr>
              <w:spacing w:after="160" w:line="259" w:lineRule="auto"/>
            </w:pPr>
          </w:p>
        </w:tc>
        <w:tc>
          <w:tcPr>
            <w:tcW w:w="1701" w:type="dxa"/>
            <w:vAlign w:val="center"/>
          </w:tcPr>
          <w:p w14:paraId="11C7F6BF" w14:textId="77777777" w:rsidR="00E74F94" w:rsidRDefault="00E74F94" w:rsidP="00E74F94">
            <w:pPr>
              <w:spacing w:after="160" w:line="259" w:lineRule="auto"/>
            </w:pPr>
          </w:p>
        </w:tc>
        <w:tc>
          <w:tcPr>
            <w:tcW w:w="1701" w:type="dxa"/>
            <w:vAlign w:val="bottom"/>
          </w:tcPr>
          <w:p w14:paraId="3F51BC2D" w14:textId="45009FC4" w:rsidR="00E74F94" w:rsidRDefault="00E74F94" w:rsidP="00E74F94">
            <w:pPr>
              <w:spacing w:after="160" w:line="259" w:lineRule="auto"/>
            </w:pPr>
            <w:r w:rsidRPr="00D25FA0">
              <w:t> </w:t>
            </w:r>
          </w:p>
        </w:tc>
      </w:tr>
      <w:tr w:rsidR="00E74F94" w14:paraId="52DEAEC1" w14:textId="77777777" w:rsidTr="00E74F94">
        <w:tc>
          <w:tcPr>
            <w:tcW w:w="1700" w:type="dxa"/>
            <w:vAlign w:val="bottom"/>
          </w:tcPr>
          <w:p w14:paraId="2DF708E3" w14:textId="43FDE929" w:rsidR="00E74F94" w:rsidRPr="007B6B4A" w:rsidRDefault="00E74F94" w:rsidP="00E74F94">
            <w:pPr>
              <w:spacing w:after="160" w:line="259" w:lineRule="auto"/>
            </w:pPr>
            <w:r w:rsidRPr="007B6B4A">
              <w:t>PM</w:t>
            </w:r>
            <w:r w:rsidRPr="007B6B4A">
              <w:rPr>
                <w:vertAlign w:val="subscript"/>
              </w:rPr>
              <w:t>10</w:t>
            </w:r>
          </w:p>
        </w:tc>
        <w:tc>
          <w:tcPr>
            <w:tcW w:w="1701" w:type="dxa"/>
            <w:vAlign w:val="bottom"/>
          </w:tcPr>
          <w:p w14:paraId="791CA688" w14:textId="7EE6A441" w:rsidR="00E74F94" w:rsidRDefault="00E74F94" w:rsidP="00E74F94">
            <w:pPr>
              <w:spacing w:after="160" w:line="259" w:lineRule="auto"/>
            </w:pPr>
            <w:r w:rsidRPr="00D25FA0">
              <w:t>655,037</w:t>
            </w:r>
          </w:p>
        </w:tc>
        <w:tc>
          <w:tcPr>
            <w:tcW w:w="1701" w:type="dxa"/>
            <w:vAlign w:val="center"/>
          </w:tcPr>
          <w:p w14:paraId="5B2DA6D7" w14:textId="77777777" w:rsidR="00E74F94" w:rsidRDefault="00E74F94" w:rsidP="00E74F94">
            <w:pPr>
              <w:spacing w:after="160" w:line="259" w:lineRule="auto"/>
            </w:pPr>
          </w:p>
        </w:tc>
        <w:tc>
          <w:tcPr>
            <w:tcW w:w="1701" w:type="dxa"/>
            <w:vAlign w:val="center"/>
          </w:tcPr>
          <w:p w14:paraId="016674A1" w14:textId="77777777" w:rsidR="00E74F94" w:rsidRDefault="00E74F94" w:rsidP="00E74F94">
            <w:pPr>
              <w:spacing w:after="160" w:line="259" w:lineRule="auto"/>
            </w:pPr>
          </w:p>
        </w:tc>
        <w:tc>
          <w:tcPr>
            <w:tcW w:w="1701" w:type="dxa"/>
            <w:vAlign w:val="center"/>
          </w:tcPr>
          <w:p w14:paraId="5294F4E4" w14:textId="77777777" w:rsidR="00E74F94" w:rsidRDefault="00E74F94" w:rsidP="00E74F94">
            <w:pPr>
              <w:spacing w:after="160" w:line="259" w:lineRule="auto"/>
            </w:pPr>
          </w:p>
        </w:tc>
        <w:tc>
          <w:tcPr>
            <w:tcW w:w="1701" w:type="dxa"/>
            <w:vAlign w:val="bottom"/>
          </w:tcPr>
          <w:p w14:paraId="3783B5B5" w14:textId="71385410" w:rsidR="00E74F94" w:rsidRDefault="00E74F94" w:rsidP="00E74F94">
            <w:pPr>
              <w:spacing w:after="160" w:line="259" w:lineRule="auto"/>
            </w:pPr>
            <w:r w:rsidRPr="00D25FA0">
              <w:t> </w:t>
            </w:r>
          </w:p>
        </w:tc>
      </w:tr>
      <w:tr w:rsidR="00E74F94" w14:paraId="38B64A6E" w14:textId="77777777" w:rsidTr="00E74F94">
        <w:tc>
          <w:tcPr>
            <w:tcW w:w="1700" w:type="dxa"/>
            <w:vAlign w:val="bottom"/>
          </w:tcPr>
          <w:p w14:paraId="43E2FF53" w14:textId="18FDCCCC" w:rsidR="00E74F94" w:rsidRPr="007B6B4A" w:rsidRDefault="00E74F94" w:rsidP="00E74F94">
            <w:pPr>
              <w:spacing w:after="160" w:line="259" w:lineRule="auto"/>
            </w:pPr>
            <w:r w:rsidRPr="007B6B4A">
              <w:t>PM</w:t>
            </w:r>
            <w:r w:rsidRPr="007B6B4A">
              <w:rPr>
                <w:vertAlign w:val="subscript"/>
              </w:rPr>
              <w:t>2.5</w:t>
            </w:r>
          </w:p>
        </w:tc>
        <w:tc>
          <w:tcPr>
            <w:tcW w:w="1701" w:type="dxa"/>
            <w:vAlign w:val="bottom"/>
          </w:tcPr>
          <w:p w14:paraId="7669EB7D" w14:textId="5BA65FA3" w:rsidR="00E74F94" w:rsidRDefault="00E74F94" w:rsidP="00E74F94">
            <w:pPr>
              <w:spacing w:after="160" w:line="259" w:lineRule="auto"/>
            </w:pPr>
            <w:r w:rsidRPr="00D25FA0">
              <w:t xml:space="preserve">2,702,027 </w:t>
            </w:r>
          </w:p>
        </w:tc>
        <w:tc>
          <w:tcPr>
            <w:tcW w:w="1701" w:type="dxa"/>
            <w:vAlign w:val="center"/>
          </w:tcPr>
          <w:p w14:paraId="587C2088" w14:textId="77777777" w:rsidR="00E74F94" w:rsidRDefault="00E74F94" w:rsidP="00E74F94">
            <w:pPr>
              <w:spacing w:after="160" w:line="259" w:lineRule="auto"/>
            </w:pPr>
          </w:p>
        </w:tc>
        <w:tc>
          <w:tcPr>
            <w:tcW w:w="1701" w:type="dxa"/>
            <w:vAlign w:val="center"/>
          </w:tcPr>
          <w:p w14:paraId="2CF8E0A4" w14:textId="77777777" w:rsidR="00E74F94" w:rsidRDefault="00E74F94" w:rsidP="00E74F94">
            <w:pPr>
              <w:spacing w:after="160" w:line="259" w:lineRule="auto"/>
            </w:pPr>
          </w:p>
        </w:tc>
        <w:tc>
          <w:tcPr>
            <w:tcW w:w="1701" w:type="dxa"/>
            <w:vAlign w:val="center"/>
          </w:tcPr>
          <w:p w14:paraId="62CEC83F" w14:textId="77777777" w:rsidR="00E74F94" w:rsidRDefault="00E74F94" w:rsidP="00E74F94">
            <w:pPr>
              <w:spacing w:after="160" w:line="259" w:lineRule="auto"/>
            </w:pPr>
          </w:p>
        </w:tc>
        <w:tc>
          <w:tcPr>
            <w:tcW w:w="1701" w:type="dxa"/>
            <w:vAlign w:val="bottom"/>
          </w:tcPr>
          <w:p w14:paraId="31E4FC78" w14:textId="18AFCC87" w:rsidR="00E74F94" w:rsidRDefault="00E74F94" w:rsidP="00E74F94">
            <w:pPr>
              <w:spacing w:after="160" w:line="259" w:lineRule="auto"/>
            </w:pPr>
            <w:r w:rsidRPr="00D25FA0">
              <w:t> </w:t>
            </w:r>
          </w:p>
        </w:tc>
      </w:tr>
      <w:tr w:rsidR="00E74F94" w14:paraId="43AB0D1E" w14:textId="77777777" w:rsidTr="00E74F94">
        <w:tc>
          <w:tcPr>
            <w:tcW w:w="1700" w:type="dxa"/>
            <w:vAlign w:val="bottom"/>
          </w:tcPr>
          <w:p w14:paraId="445238B3" w14:textId="2B46287E" w:rsidR="00E74F94" w:rsidRPr="007B6B4A" w:rsidRDefault="00E74F94" w:rsidP="00E74F94">
            <w:pPr>
              <w:spacing w:after="160" w:line="259" w:lineRule="auto"/>
            </w:pPr>
            <w:r w:rsidRPr="007B6B4A">
              <w:t>Total</w:t>
            </w:r>
          </w:p>
        </w:tc>
        <w:tc>
          <w:tcPr>
            <w:tcW w:w="1701" w:type="dxa"/>
            <w:vAlign w:val="bottom"/>
          </w:tcPr>
          <w:p w14:paraId="21560398" w14:textId="3D8C2E42" w:rsidR="00E74F94" w:rsidRDefault="00E74F94" w:rsidP="00E74F94">
            <w:pPr>
              <w:spacing w:after="160" w:line="259" w:lineRule="auto"/>
            </w:pPr>
            <w:r w:rsidRPr="00D25FA0">
              <w:t>64,930,521</w:t>
            </w:r>
          </w:p>
        </w:tc>
        <w:tc>
          <w:tcPr>
            <w:tcW w:w="1701" w:type="dxa"/>
            <w:vAlign w:val="bottom"/>
          </w:tcPr>
          <w:p w14:paraId="7BD4AC84" w14:textId="45D77491" w:rsidR="00E74F94" w:rsidRDefault="00E74F94" w:rsidP="00E74F94">
            <w:pPr>
              <w:spacing w:after="160" w:line="259" w:lineRule="auto"/>
            </w:pPr>
            <w:r w:rsidRPr="00D25FA0">
              <w:t>136,768,967</w:t>
            </w:r>
          </w:p>
        </w:tc>
        <w:tc>
          <w:tcPr>
            <w:tcW w:w="1701" w:type="dxa"/>
            <w:vAlign w:val="bottom"/>
          </w:tcPr>
          <w:p w14:paraId="28EB3D0A" w14:textId="759FA94D" w:rsidR="00E74F94" w:rsidRDefault="00E74F94" w:rsidP="00E74F94">
            <w:pPr>
              <w:spacing w:after="160" w:line="259" w:lineRule="auto"/>
            </w:pPr>
            <w:r w:rsidRPr="00D25FA0">
              <w:t>299,486,397</w:t>
            </w:r>
          </w:p>
        </w:tc>
        <w:tc>
          <w:tcPr>
            <w:tcW w:w="1701" w:type="dxa"/>
            <w:vAlign w:val="bottom"/>
          </w:tcPr>
          <w:p w14:paraId="6391707D" w14:textId="092EEBE2" w:rsidR="00E74F94" w:rsidRDefault="00E74F94" w:rsidP="00E74F94">
            <w:pPr>
              <w:spacing w:after="160" w:line="259" w:lineRule="auto"/>
            </w:pPr>
            <w:r w:rsidRPr="00D25FA0">
              <w:t>144,567,797</w:t>
            </w:r>
          </w:p>
        </w:tc>
        <w:tc>
          <w:tcPr>
            <w:tcW w:w="1701" w:type="dxa"/>
            <w:vAlign w:val="bottom"/>
          </w:tcPr>
          <w:p w14:paraId="5D954CAA" w14:textId="681BE8C8" w:rsidR="00E74F94" w:rsidRDefault="00E74F94" w:rsidP="00E74F94">
            <w:pPr>
              <w:spacing w:after="160" w:line="259" w:lineRule="auto"/>
            </w:pPr>
            <w:r w:rsidRPr="00D25FA0">
              <w:rPr>
                <w:b/>
              </w:rPr>
              <w:t>645,753,682</w:t>
            </w:r>
          </w:p>
        </w:tc>
      </w:tr>
    </w:tbl>
    <w:p w14:paraId="62C683D2" w14:textId="77777777" w:rsidR="00E74F94" w:rsidRDefault="00E74F94" w:rsidP="00E74F94">
      <w:pPr>
        <w:spacing w:after="160" w:line="259" w:lineRule="auto"/>
      </w:pPr>
    </w:p>
    <w:p w14:paraId="3FA77B20" w14:textId="77777777" w:rsidR="00A403CE" w:rsidRDefault="00A403CE">
      <w:pPr>
        <w:rPr>
          <w:b/>
          <w:color w:val="494847"/>
        </w:rPr>
      </w:pPr>
      <w:r>
        <w:br w:type="page"/>
      </w:r>
    </w:p>
    <w:p w14:paraId="34EB1F49" w14:textId="36719D2C" w:rsidR="002B130A" w:rsidRDefault="002B130A" w:rsidP="002B130A">
      <w:pPr>
        <w:pStyle w:val="Heading3"/>
      </w:pPr>
      <w:r>
        <w:t>Total health costs utilising damage costs per MWh and</w:t>
      </w:r>
      <w:r w:rsidRPr="00D25FA0">
        <w:t xml:space="preserve"> </w:t>
      </w:r>
      <w:r>
        <w:t>2017/18</w:t>
      </w:r>
      <w:r w:rsidRPr="00D25FA0">
        <w:t xml:space="preserve"> </w:t>
      </w:r>
      <w:r>
        <w:t>NEM-Review electricity generation data (post Hazelwood closure)</w:t>
      </w:r>
    </w:p>
    <w:p w14:paraId="6CBA1B20" w14:textId="2253117C" w:rsidR="00967FFB" w:rsidRDefault="002B130A" w:rsidP="002B130A">
      <w:pPr>
        <w:pStyle w:val="BodyText"/>
        <w:rPr>
          <w:lang w:eastAsia="en-AU"/>
        </w:rPr>
      </w:pPr>
      <w:r>
        <w:rPr>
          <w:lang w:eastAsia="en-AU"/>
        </w:rPr>
        <w:t>Tables A-6 and A-7 present the total health costs for the electricity sector utilising the same damage costs as were used in Table A-4 (ATSE) and Table A-5 (Ward &amp; Power)</w:t>
      </w:r>
      <w:r w:rsidR="00E35298">
        <w:rPr>
          <w:lang w:eastAsia="en-AU"/>
        </w:rPr>
        <w:t>.</w:t>
      </w:r>
      <w:r>
        <w:rPr>
          <w:lang w:eastAsia="en-AU"/>
        </w:rPr>
        <w:t xml:space="preserve"> </w:t>
      </w:r>
      <w:r w:rsidR="00E35298">
        <w:rPr>
          <w:lang w:eastAsia="en-AU"/>
        </w:rPr>
        <w:t>However, here these damage costs have</w:t>
      </w:r>
      <w:r>
        <w:rPr>
          <w:lang w:eastAsia="en-AU"/>
        </w:rPr>
        <w:t xml:space="preserve"> been applied to more recent generation data for 2017/18 from the NEM-Review. These total costs are lower than the 2016/17 figures, as Hazelwood power station closed in March 2017 reducing generation capacity from Victorian coal-fired power stations by approximately 17 per cent.</w:t>
      </w:r>
    </w:p>
    <w:p w14:paraId="57ECAEC2" w14:textId="2CA9BB77" w:rsidR="00A854E1" w:rsidRPr="002B130A" w:rsidRDefault="002B130A" w:rsidP="002B130A">
      <w:pPr>
        <w:pStyle w:val="Caption"/>
      </w:pPr>
      <w:r>
        <w:t xml:space="preserve">Table A-6 </w:t>
      </w:r>
      <w:r w:rsidR="00A854E1" w:rsidRPr="00D07822">
        <w:t xml:space="preserve">Total health costs from brown coal fired power </w:t>
      </w:r>
      <w:r w:rsidR="007B6B4A">
        <w:t>stations, Victoria (AUD$2018</w:t>
      </w:r>
      <w:r w:rsidR="00A854E1" w:rsidRPr="00D07822">
        <w:t>)</w:t>
      </w:r>
      <w:r>
        <w:t xml:space="preserve"> - ATSE</w:t>
      </w:r>
    </w:p>
    <w:tbl>
      <w:tblPr>
        <w:tblStyle w:val="TableGrid"/>
        <w:tblW w:w="0" w:type="auto"/>
        <w:tblLook w:val="04A0" w:firstRow="1" w:lastRow="0" w:firstColumn="1" w:lastColumn="0" w:noHBand="0" w:noVBand="1"/>
      </w:tblPr>
      <w:tblGrid>
        <w:gridCol w:w="1700"/>
        <w:gridCol w:w="1701"/>
        <w:gridCol w:w="1701"/>
        <w:gridCol w:w="1701"/>
        <w:gridCol w:w="1701"/>
      </w:tblGrid>
      <w:tr w:rsidR="00A854E1" w:rsidRPr="007B6B4A" w14:paraId="538B935D" w14:textId="77777777" w:rsidTr="007B6B4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0" w:type="dxa"/>
            <w:vAlign w:val="bottom"/>
          </w:tcPr>
          <w:p w14:paraId="2DF9326D" w14:textId="77777777" w:rsidR="00A854E1" w:rsidRPr="007B6B4A" w:rsidRDefault="00A854E1" w:rsidP="007B6B4A">
            <w:pPr>
              <w:spacing w:after="160" w:line="259" w:lineRule="auto"/>
            </w:pPr>
            <w:r w:rsidRPr="007B6B4A">
              <w:t>Pollutant</w:t>
            </w:r>
          </w:p>
        </w:tc>
        <w:tc>
          <w:tcPr>
            <w:tcW w:w="1701" w:type="dxa"/>
            <w:vAlign w:val="bottom"/>
          </w:tcPr>
          <w:p w14:paraId="295839F7"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Yallourn</w:t>
            </w:r>
          </w:p>
        </w:tc>
        <w:tc>
          <w:tcPr>
            <w:tcW w:w="1701" w:type="dxa"/>
            <w:vAlign w:val="bottom"/>
          </w:tcPr>
          <w:p w14:paraId="38B48AC7"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A</w:t>
            </w:r>
          </w:p>
        </w:tc>
        <w:tc>
          <w:tcPr>
            <w:tcW w:w="1701" w:type="dxa"/>
            <w:vAlign w:val="bottom"/>
          </w:tcPr>
          <w:p w14:paraId="013CCA2A"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B</w:t>
            </w:r>
          </w:p>
        </w:tc>
        <w:tc>
          <w:tcPr>
            <w:tcW w:w="1701" w:type="dxa"/>
            <w:vAlign w:val="bottom"/>
          </w:tcPr>
          <w:p w14:paraId="142466E1"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Total</w:t>
            </w:r>
          </w:p>
        </w:tc>
      </w:tr>
      <w:tr w:rsidR="00A854E1" w14:paraId="6ECC2F64" w14:textId="77777777" w:rsidTr="007B6B4A">
        <w:tc>
          <w:tcPr>
            <w:tcW w:w="1700" w:type="dxa"/>
            <w:vAlign w:val="bottom"/>
          </w:tcPr>
          <w:p w14:paraId="2CA14305" w14:textId="77777777" w:rsidR="00A854E1" w:rsidRPr="007B6B4A" w:rsidRDefault="00A854E1" w:rsidP="00A854E1">
            <w:pPr>
              <w:spacing w:after="160" w:line="259" w:lineRule="auto"/>
            </w:pPr>
            <w:r w:rsidRPr="007B6B4A">
              <w:t>SO</w:t>
            </w:r>
            <w:r w:rsidRPr="007B6B4A">
              <w:rPr>
                <w:vertAlign w:val="subscript"/>
              </w:rPr>
              <w:t>2</w:t>
            </w:r>
          </w:p>
        </w:tc>
        <w:tc>
          <w:tcPr>
            <w:tcW w:w="1701" w:type="dxa"/>
            <w:vAlign w:val="center"/>
          </w:tcPr>
          <w:p w14:paraId="0931D698" w14:textId="4DACE32F" w:rsidR="00A854E1" w:rsidRDefault="00A854E1" w:rsidP="00A854E1">
            <w:pPr>
              <w:spacing w:after="160" w:line="259" w:lineRule="auto"/>
            </w:pPr>
            <w:r w:rsidRPr="00D25FA0">
              <w:t>95,858,180</w:t>
            </w:r>
          </w:p>
        </w:tc>
        <w:tc>
          <w:tcPr>
            <w:tcW w:w="1701" w:type="dxa"/>
            <w:vAlign w:val="center"/>
          </w:tcPr>
          <w:p w14:paraId="58024D73" w14:textId="6434DF0E" w:rsidR="00A854E1" w:rsidRDefault="00A854E1" w:rsidP="00A854E1">
            <w:pPr>
              <w:spacing w:after="160" w:line="259" w:lineRule="auto"/>
            </w:pPr>
            <w:r w:rsidRPr="00D25FA0">
              <w:t>158,140,717</w:t>
            </w:r>
          </w:p>
        </w:tc>
        <w:tc>
          <w:tcPr>
            <w:tcW w:w="1701" w:type="dxa"/>
            <w:vAlign w:val="center"/>
          </w:tcPr>
          <w:p w14:paraId="6B621283" w14:textId="41B2B41C" w:rsidR="00A854E1" w:rsidRDefault="00A854E1" w:rsidP="00A854E1">
            <w:pPr>
              <w:spacing w:after="160" w:line="259" w:lineRule="auto"/>
            </w:pPr>
            <w:r w:rsidRPr="00D25FA0">
              <w:t>84,051,463</w:t>
            </w:r>
          </w:p>
        </w:tc>
        <w:tc>
          <w:tcPr>
            <w:tcW w:w="1701" w:type="dxa"/>
            <w:vAlign w:val="bottom"/>
          </w:tcPr>
          <w:p w14:paraId="2C6D0E59" w14:textId="495F2792" w:rsidR="00A854E1" w:rsidRDefault="00A854E1" w:rsidP="00A854E1">
            <w:pPr>
              <w:spacing w:after="160" w:line="259" w:lineRule="auto"/>
            </w:pPr>
            <w:r w:rsidRPr="00D25FA0">
              <w:t>338,050,361</w:t>
            </w:r>
          </w:p>
        </w:tc>
      </w:tr>
      <w:tr w:rsidR="00A854E1" w14:paraId="0A88B035" w14:textId="77777777" w:rsidTr="007B6B4A">
        <w:tc>
          <w:tcPr>
            <w:tcW w:w="1700" w:type="dxa"/>
            <w:vAlign w:val="bottom"/>
          </w:tcPr>
          <w:p w14:paraId="2A42FEF9" w14:textId="77777777" w:rsidR="00A854E1" w:rsidRPr="007B6B4A" w:rsidRDefault="00A854E1" w:rsidP="00A854E1">
            <w:pPr>
              <w:spacing w:after="160" w:line="259" w:lineRule="auto"/>
            </w:pPr>
            <w:r w:rsidRPr="007B6B4A">
              <w:t>NO</w:t>
            </w:r>
            <w:r w:rsidRPr="007B6B4A">
              <w:rPr>
                <w:vertAlign w:val="subscript"/>
              </w:rPr>
              <w:t>X</w:t>
            </w:r>
          </w:p>
        </w:tc>
        <w:tc>
          <w:tcPr>
            <w:tcW w:w="1701" w:type="dxa"/>
            <w:vAlign w:val="center"/>
          </w:tcPr>
          <w:p w14:paraId="12A77C90" w14:textId="1316B858" w:rsidR="00A854E1" w:rsidRDefault="00A854E1" w:rsidP="00A854E1">
            <w:pPr>
              <w:spacing w:after="160" w:line="259" w:lineRule="auto"/>
            </w:pPr>
            <w:r w:rsidRPr="00D25FA0">
              <w:t>52,974,257</w:t>
            </w:r>
          </w:p>
        </w:tc>
        <w:tc>
          <w:tcPr>
            <w:tcW w:w="1701" w:type="dxa"/>
            <w:vAlign w:val="center"/>
          </w:tcPr>
          <w:p w14:paraId="3E62603A" w14:textId="5772843D" w:rsidR="00A854E1" w:rsidRDefault="00A854E1" w:rsidP="00A854E1">
            <w:pPr>
              <w:spacing w:after="160" w:line="259" w:lineRule="auto"/>
            </w:pPr>
            <w:r w:rsidRPr="00D25FA0">
              <w:t>87,393,554</w:t>
            </w:r>
          </w:p>
        </w:tc>
        <w:tc>
          <w:tcPr>
            <w:tcW w:w="1701" w:type="dxa"/>
            <w:vAlign w:val="center"/>
          </w:tcPr>
          <w:p w14:paraId="5F126896" w14:textId="670D30CE" w:rsidR="00A854E1" w:rsidRDefault="00A854E1" w:rsidP="00A854E1">
            <w:pPr>
              <w:spacing w:after="160" w:line="259" w:lineRule="auto"/>
            </w:pPr>
            <w:r w:rsidRPr="00D25FA0">
              <w:t>46,449,493</w:t>
            </w:r>
          </w:p>
        </w:tc>
        <w:tc>
          <w:tcPr>
            <w:tcW w:w="1701" w:type="dxa"/>
            <w:vAlign w:val="bottom"/>
          </w:tcPr>
          <w:p w14:paraId="60432253" w14:textId="72AF46A1" w:rsidR="00A854E1" w:rsidRDefault="00A854E1" w:rsidP="00A854E1">
            <w:pPr>
              <w:spacing w:after="160" w:line="259" w:lineRule="auto"/>
            </w:pPr>
            <w:r w:rsidRPr="00D25FA0">
              <w:t>186,817,305</w:t>
            </w:r>
          </w:p>
        </w:tc>
      </w:tr>
      <w:tr w:rsidR="00A854E1" w14:paraId="3648F17D" w14:textId="77777777" w:rsidTr="007B6B4A">
        <w:tc>
          <w:tcPr>
            <w:tcW w:w="1700" w:type="dxa"/>
            <w:vAlign w:val="bottom"/>
          </w:tcPr>
          <w:p w14:paraId="38DCA3DE" w14:textId="77777777" w:rsidR="00A854E1" w:rsidRPr="007B6B4A" w:rsidRDefault="00A854E1" w:rsidP="00A854E1">
            <w:pPr>
              <w:spacing w:after="160" w:line="259" w:lineRule="auto"/>
            </w:pPr>
            <w:r w:rsidRPr="007B6B4A">
              <w:t>PM</w:t>
            </w:r>
            <w:r w:rsidRPr="007B6B4A">
              <w:rPr>
                <w:vertAlign w:val="subscript"/>
              </w:rPr>
              <w:t>10</w:t>
            </w:r>
          </w:p>
        </w:tc>
        <w:tc>
          <w:tcPr>
            <w:tcW w:w="1701" w:type="dxa"/>
            <w:vAlign w:val="center"/>
          </w:tcPr>
          <w:p w14:paraId="76E7F09C" w14:textId="263D00DC" w:rsidR="00A854E1" w:rsidRDefault="00A854E1" w:rsidP="00A854E1">
            <w:pPr>
              <w:spacing w:after="160" w:line="259" w:lineRule="auto"/>
            </w:pPr>
            <w:r w:rsidRPr="00D25FA0">
              <w:t>17,658,086</w:t>
            </w:r>
          </w:p>
        </w:tc>
        <w:tc>
          <w:tcPr>
            <w:tcW w:w="1701" w:type="dxa"/>
            <w:vAlign w:val="center"/>
          </w:tcPr>
          <w:p w14:paraId="3B068436" w14:textId="53FF76F0" w:rsidR="00A854E1" w:rsidRDefault="00A854E1" w:rsidP="00A854E1">
            <w:pPr>
              <w:spacing w:after="160" w:line="259" w:lineRule="auto"/>
            </w:pPr>
            <w:r w:rsidRPr="00D25FA0">
              <w:t>29,131,185</w:t>
            </w:r>
          </w:p>
        </w:tc>
        <w:tc>
          <w:tcPr>
            <w:tcW w:w="1701" w:type="dxa"/>
            <w:vAlign w:val="center"/>
          </w:tcPr>
          <w:p w14:paraId="040AE90F" w14:textId="53088B23" w:rsidR="00A854E1" w:rsidRDefault="00A854E1" w:rsidP="00A854E1">
            <w:pPr>
              <w:spacing w:after="160" w:line="259" w:lineRule="auto"/>
            </w:pPr>
            <w:r w:rsidRPr="00D25FA0">
              <w:t>15,483,164</w:t>
            </w:r>
          </w:p>
        </w:tc>
        <w:tc>
          <w:tcPr>
            <w:tcW w:w="1701" w:type="dxa"/>
            <w:vAlign w:val="bottom"/>
          </w:tcPr>
          <w:p w14:paraId="319B84F8" w14:textId="553FD844" w:rsidR="00A854E1" w:rsidRDefault="00A854E1" w:rsidP="00A854E1">
            <w:pPr>
              <w:spacing w:after="160" w:line="259" w:lineRule="auto"/>
            </w:pPr>
            <w:r w:rsidRPr="00D25FA0">
              <w:t>62,272,435</w:t>
            </w:r>
          </w:p>
        </w:tc>
      </w:tr>
      <w:tr w:rsidR="00A854E1" w14:paraId="60498DC5" w14:textId="77777777" w:rsidTr="007B6B4A">
        <w:tc>
          <w:tcPr>
            <w:tcW w:w="1700" w:type="dxa"/>
            <w:vAlign w:val="bottom"/>
          </w:tcPr>
          <w:p w14:paraId="2765289F" w14:textId="77777777" w:rsidR="00A854E1" w:rsidRPr="007B6B4A" w:rsidRDefault="00A854E1" w:rsidP="00A854E1">
            <w:pPr>
              <w:spacing w:after="160" w:line="259" w:lineRule="auto"/>
            </w:pPr>
            <w:r w:rsidRPr="007B6B4A">
              <w:t>PM</w:t>
            </w:r>
            <w:r w:rsidRPr="007B6B4A">
              <w:rPr>
                <w:vertAlign w:val="subscript"/>
              </w:rPr>
              <w:t>2.5</w:t>
            </w:r>
          </w:p>
        </w:tc>
        <w:tc>
          <w:tcPr>
            <w:tcW w:w="1701" w:type="dxa"/>
            <w:vAlign w:val="center"/>
          </w:tcPr>
          <w:p w14:paraId="59A6D9D4" w14:textId="26072B3C" w:rsidR="00A854E1" w:rsidRDefault="00E35298" w:rsidP="00A854E1">
            <w:pPr>
              <w:spacing w:after="160" w:line="259" w:lineRule="auto"/>
            </w:pPr>
            <w:r>
              <w:t>N/A</w:t>
            </w:r>
          </w:p>
        </w:tc>
        <w:tc>
          <w:tcPr>
            <w:tcW w:w="1701" w:type="dxa"/>
            <w:vAlign w:val="center"/>
          </w:tcPr>
          <w:p w14:paraId="70FF883C" w14:textId="1CFC65EF" w:rsidR="00A854E1" w:rsidRDefault="00E35298" w:rsidP="00A854E1">
            <w:pPr>
              <w:spacing w:after="160" w:line="259" w:lineRule="auto"/>
            </w:pPr>
            <w:r>
              <w:t>N/A</w:t>
            </w:r>
          </w:p>
        </w:tc>
        <w:tc>
          <w:tcPr>
            <w:tcW w:w="1701" w:type="dxa"/>
            <w:vAlign w:val="center"/>
          </w:tcPr>
          <w:p w14:paraId="161A470F" w14:textId="5E6E8635" w:rsidR="00A854E1" w:rsidRDefault="00E35298" w:rsidP="00A854E1">
            <w:pPr>
              <w:spacing w:after="160" w:line="259" w:lineRule="auto"/>
            </w:pPr>
            <w:r>
              <w:t>N/A</w:t>
            </w:r>
          </w:p>
        </w:tc>
        <w:tc>
          <w:tcPr>
            <w:tcW w:w="1701" w:type="dxa"/>
            <w:vAlign w:val="bottom"/>
          </w:tcPr>
          <w:p w14:paraId="0924B53D" w14:textId="67A57DF7" w:rsidR="00A854E1" w:rsidRDefault="00E35298" w:rsidP="00A854E1">
            <w:pPr>
              <w:spacing w:after="160" w:line="259" w:lineRule="auto"/>
            </w:pPr>
            <w:r>
              <w:t>N/A</w:t>
            </w:r>
            <w:r w:rsidR="00A854E1" w:rsidRPr="00D25FA0">
              <w:t> </w:t>
            </w:r>
          </w:p>
        </w:tc>
      </w:tr>
      <w:tr w:rsidR="00A854E1" w14:paraId="574EFCF3" w14:textId="77777777" w:rsidTr="007B6B4A">
        <w:tc>
          <w:tcPr>
            <w:tcW w:w="1700" w:type="dxa"/>
            <w:vAlign w:val="bottom"/>
          </w:tcPr>
          <w:p w14:paraId="00D0A9A5" w14:textId="77777777" w:rsidR="00A854E1" w:rsidRPr="007B6B4A" w:rsidRDefault="00A854E1" w:rsidP="00A854E1">
            <w:pPr>
              <w:spacing w:after="160" w:line="259" w:lineRule="auto"/>
            </w:pPr>
            <w:r w:rsidRPr="007B6B4A">
              <w:t>Total</w:t>
            </w:r>
          </w:p>
        </w:tc>
        <w:tc>
          <w:tcPr>
            <w:tcW w:w="1701" w:type="dxa"/>
            <w:vAlign w:val="bottom"/>
          </w:tcPr>
          <w:p w14:paraId="4AFC2162" w14:textId="750C715D" w:rsidR="00A854E1" w:rsidRDefault="00A854E1" w:rsidP="00A854E1">
            <w:pPr>
              <w:spacing w:after="160" w:line="259" w:lineRule="auto"/>
            </w:pPr>
            <w:r w:rsidRPr="00D25FA0">
              <w:t>166,490,523</w:t>
            </w:r>
          </w:p>
        </w:tc>
        <w:tc>
          <w:tcPr>
            <w:tcW w:w="1701" w:type="dxa"/>
            <w:vAlign w:val="bottom"/>
          </w:tcPr>
          <w:p w14:paraId="45998FBB" w14:textId="56C45D62" w:rsidR="00A854E1" w:rsidRDefault="00A854E1" w:rsidP="00A854E1">
            <w:pPr>
              <w:spacing w:after="160" w:line="259" w:lineRule="auto"/>
            </w:pPr>
            <w:r w:rsidRPr="00D25FA0">
              <w:t>274,665,456</w:t>
            </w:r>
          </w:p>
        </w:tc>
        <w:tc>
          <w:tcPr>
            <w:tcW w:w="1701" w:type="dxa"/>
            <w:vAlign w:val="bottom"/>
          </w:tcPr>
          <w:p w14:paraId="2F2BDEB0" w14:textId="078C7C3E" w:rsidR="00A854E1" w:rsidRDefault="00A854E1" w:rsidP="00A854E1">
            <w:pPr>
              <w:spacing w:after="160" w:line="259" w:lineRule="auto"/>
            </w:pPr>
            <w:r w:rsidRPr="00D25FA0">
              <w:t>145,984,121</w:t>
            </w:r>
          </w:p>
        </w:tc>
        <w:tc>
          <w:tcPr>
            <w:tcW w:w="1701" w:type="dxa"/>
            <w:vAlign w:val="bottom"/>
          </w:tcPr>
          <w:p w14:paraId="410AD30A" w14:textId="5E583684" w:rsidR="00A854E1" w:rsidRDefault="00A854E1" w:rsidP="00A854E1">
            <w:pPr>
              <w:spacing w:after="160" w:line="259" w:lineRule="auto"/>
            </w:pPr>
            <w:r w:rsidRPr="00D25FA0">
              <w:rPr>
                <w:b/>
              </w:rPr>
              <w:t>587,140,100</w:t>
            </w:r>
          </w:p>
        </w:tc>
      </w:tr>
    </w:tbl>
    <w:p w14:paraId="3CC7191E" w14:textId="4D118924" w:rsidR="003F34BF" w:rsidRPr="00D963E5" w:rsidRDefault="003F34BF" w:rsidP="003F34BF"/>
    <w:p w14:paraId="0E788884" w14:textId="17CCDA69" w:rsidR="00A854E1" w:rsidRDefault="002B130A" w:rsidP="00A854E1">
      <w:pPr>
        <w:pStyle w:val="Caption"/>
      </w:pPr>
      <w:r>
        <w:t>Table A-7 T</w:t>
      </w:r>
      <w:r w:rsidR="00A854E1" w:rsidRPr="00EA71AA">
        <w:t xml:space="preserve">otal health costs from brown coal fired power </w:t>
      </w:r>
      <w:r w:rsidR="007B6B4A">
        <w:t>stations, Victoria (AUD$2018</w:t>
      </w:r>
      <w:r w:rsidR="00A854E1" w:rsidRPr="00EA71AA">
        <w:t>)</w:t>
      </w:r>
      <w:r>
        <w:t xml:space="preserve"> – Ward &amp; Power</w:t>
      </w:r>
    </w:p>
    <w:tbl>
      <w:tblPr>
        <w:tblStyle w:val="TableGrid"/>
        <w:tblW w:w="0" w:type="auto"/>
        <w:tblLook w:val="04A0" w:firstRow="1" w:lastRow="0" w:firstColumn="1" w:lastColumn="0" w:noHBand="0" w:noVBand="1"/>
      </w:tblPr>
      <w:tblGrid>
        <w:gridCol w:w="1700"/>
        <w:gridCol w:w="1701"/>
        <w:gridCol w:w="1701"/>
        <w:gridCol w:w="1701"/>
        <w:gridCol w:w="1701"/>
      </w:tblGrid>
      <w:tr w:rsidR="00A854E1" w14:paraId="0EC19A90" w14:textId="77777777" w:rsidTr="007B6B4A">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700" w:type="dxa"/>
            <w:vAlign w:val="bottom"/>
          </w:tcPr>
          <w:p w14:paraId="4119FB25" w14:textId="69829776" w:rsidR="00A854E1" w:rsidRPr="007B6B4A" w:rsidRDefault="00A854E1" w:rsidP="007B6B4A">
            <w:pPr>
              <w:spacing w:after="160" w:line="259" w:lineRule="auto"/>
            </w:pPr>
          </w:p>
        </w:tc>
        <w:tc>
          <w:tcPr>
            <w:tcW w:w="1701" w:type="dxa"/>
            <w:vAlign w:val="bottom"/>
          </w:tcPr>
          <w:p w14:paraId="3B303EAD"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Yallourn</w:t>
            </w:r>
          </w:p>
        </w:tc>
        <w:tc>
          <w:tcPr>
            <w:tcW w:w="1701" w:type="dxa"/>
            <w:vAlign w:val="bottom"/>
          </w:tcPr>
          <w:p w14:paraId="44E134DC"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A</w:t>
            </w:r>
          </w:p>
        </w:tc>
        <w:tc>
          <w:tcPr>
            <w:tcW w:w="1701" w:type="dxa"/>
            <w:vAlign w:val="bottom"/>
          </w:tcPr>
          <w:p w14:paraId="0EB5B6BD"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Loy Yang B</w:t>
            </w:r>
          </w:p>
        </w:tc>
        <w:tc>
          <w:tcPr>
            <w:tcW w:w="1701" w:type="dxa"/>
            <w:vAlign w:val="bottom"/>
          </w:tcPr>
          <w:p w14:paraId="6C3029D4" w14:textId="77777777" w:rsidR="00A854E1" w:rsidRPr="007B6B4A" w:rsidRDefault="00A854E1" w:rsidP="007B6B4A">
            <w:pPr>
              <w:spacing w:after="160" w:line="259" w:lineRule="auto"/>
              <w:cnfStyle w:val="100000000000" w:firstRow="1" w:lastRow="0" w:firstColumn="0" w:lastColumn="0" w:oddVBand="0" w:evenVBand="0" w:oddHBand="0" w:evenHBand="0" w:firstRowFirstColumn="0" w:firstRowLastColumn="0" w:lastRowFirstColumn="0" w:lastRowLastColumn="0"/>
            </w:pPr>
            <w:r w:rsidRPr="007B6B4A">
              <w:t>Total</w:t>
            </w:r>
          </w:p>
        </w:tc>
      </w:tr>
      <w:tr w:rsidR="00A854E1" w14:paraId="40520BDA" w14:textId="77777777" w:rsidTr="007B6B4A">
        <w:tc>
          <w:tcPr>
            <w:tcW w:w="1700" w:type="dxa"/>
            <w:vAlign w:val="bottom"/>
          </w:tcPr>
          <w:p w14:paraId="634D1205" w14:textId="77777777" w:rsidR="00A854E1" w:rsidRPr="007B6B4A" w:rsidRDefault="00A854E1" w:rsidP="00A854E1">
            <w:pPr>
              <w:spacing w:after="160" w:line="259" w:lineRule="auto"/>
            </w:pPr>
            <w:r w:rsidRPr="007B6B4A">
              <w:t>Total</w:t>
            </w:r>
          </w:p>
        </w:tc>
        <w:tc>
          <w:tcPr>
            <w:tcW w:w="1701" w:type="dxa"/>
            <w:vAlign w:val="bottom"/>
          </w:tcPr>
          <w:p w14:paraId="3FCD7360" w14:textId="156B86CF" w:rsidR="00A854E1" w:rsidRDefault="00A854E1" w:rsidP="00A854E1">
            <w:pPr>
              <w:spacing w:after="160" w:line="259" w:lineRule="auto"/>
            </w:pPr>
            <w:r w:rsidRPr="00D25FA0">
              <w:t>122,037,698</w:t>
            </w:r>
          </w:p>
        </w:tc>
        <w:tc>
          <w:tcPr>
            <w:tcW w:w="1701" w:type="dxa"/>
            <w:vAlign w:val="bottom"/>
          </w:tcPr>
          <w:p w14:paraId="47D005D0" w14:textId="25B2A103" w:rsidR="00A854E1" w:rsidRDefault="00A854E1" w:rsidP="00A854E1">
            <w:pPr>
              <w:spacing w:after="160" w:line="259" w:lineRule="auto"/>
            </w:pPr>
            <w:r w:rsidRPr="00D25FA0">
              <w:t>318,428,298</w:t>
            </w:r>
          </w:p>
        </w:tc>
        <w:tc>
          <w:tcPr>
            <w:tcW w:w="1701" w:type="dxa"/>
            <w:vAlign w:val="bottom"/>
          </w:tcPr>
          <w:p w14:paraId="127BD189" w14:textId="7E204706" w:rsidR="00A854E1" w:rsidRDefault="00A854E1" w:rsidP="00A854E1">
            <w:pPr>
              <w:spacing w:after="160" w:line="259" w:lineRule="auto"/>
            </w:pPr>
            <w:r w:rsidRPr="00D25FA0">
              <w:t>151,393,657</w:t>
            </w:r>
          </w:p>
        </w:tc>
        <w:tc>
          <w:tcPr>
            <w:tcW w:w="1701" w:type="dxa"/>
            <w:vAlign w:val="bottom"/>
          </w:tcPr>
          <w:p w14:paraId="3322277F" w14:textId="50F851D6" w:rsidR="00A854E1" w:rsidRDefault="00A854E1" w:rsidP="00A854E1">
            <w:pPr>
              <w:spacing w:after="160" w:line="259" w:lineRule="auto"/>
            </w:pPr>
            <w:r w:rsidRPr="00D25FA0">
              <w:rPr>
                <w:b/>
              </w:rPr>
              <w:t>591,859,653</w:t>
            </w:r>
          </w:p>
        </w:tc>
      </w:tr>
    </w:tbl>
    <w:p w14:paraId="423999B5" w14:textId="61686CE3" w:rsidR="00067DAC" w:rsidRPr="00D25FA0" w:rsidRDefault="00067DAC">
      <w:pPr>
        <w:pStyle w:val="BodyText"/>
      </w:pPr>
    </w:p>
    <w:sectPr w:rsidR="00067DAC" w:rsidRPr="00D25FA0" w:rsidSect="00EA1B6D">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16FA6" w14:textId="77777777" w:rsidR="00673509" w:rsidRDefault="00673509">
      <w:r>
        <w:separator/>
      </w:r>
    </w:p>
    <w:p w14:paraId="41D5166F" w14:textId="77777777" w:rsidR="00673509" w:rsidRDefault="00673509"/>
    <w:p w14:paraId="26CA8614" w14:textId="77777777" w:rsidR="00673509" w:rsidRDefault="00673509"/>
  </w:endnote>
  <w:endnote w:type="continuationSeparator" w:id="0">
    <w:p w14:paraId="3C113E77" w14:textId="77777777" w:rsidR="00673509" w:rsidRDefault="00673509">
      <w:r>
        <w:continuationSeparator/>
      </w:r>
    </w:p>
    <w:p w14:paraId="7C963EA8" w14:textId="77777777" w:rsidR="00673509" w:rsidRDefault="00673509"/>
    <w:p w14:paraId="2AEEB4A9" w14:textId="77777777" w:rsidR="00673509" w:rsidRDefault="00673509"/>
  </w:endnote>
  <w:endnote w:type="continuationNotice" w:id="1">
    <w:p w14:paraId="5A962EA5" w14:textId="77777777" w:rsidR="00673509" w:rsidRDefault="006735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797692"/>
      <w:docPartObj>
        <w:docPartGallery w:val="Page Numbers (Bottom of Page)"/>
        <w:docPartUnique/>
      </w:docPartObj>
    </w:sdtPr>
    <w:sdtEndPr>
      <w:rPr>
        <w:noProof/>
      </w:rPr>
    </w:sdtEndPr>
    <w:sdtContent>
      <w:p w14:paraId="5EE78B3A" w14:textId="77777777" w:rsidR="00673509" w:rsidRDefault="00673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D50A35" w14:textId="77777777" w:rsidR="00673509" w:rsidRPr="008D7087" w:rsidRDefault="00673509"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253496"/>
      <w:docPartObj>
        <w:docPartGallery w:val="Page Numbers (Bottom of Page)"/>
        <w:docPartUnique/>
      </w:docPartObj>
    </w:sdtPr>
    <w:sdtEndPr>
      <w:rPr>
        <w:noProof/>
      </w:rPr>
    </w:sdtEndPr>
    <w:sdtContent>
      <w:p w14:paraId="3B5B0187" w14:textId="77777777" w:rsidR="00673509" w:rsidRDefault="00673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5675B4" w14:textId="77777777" w:rsidR="00673509" w:rsidRPr="008D7087" w:rsidRDefault="00673509"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1E07" w14:textId="77777777" w:rsidR="00673509" w:rsidRDefault="00673509" w:rsidP="00BF3066">
    <w:pPr>
      <w:pStyle w:val="Footer"/>
      <w:spacing w:before="1600"/>
    </w:pPr>
    <w:r>
      <w:rPr>
        <w:noProof/>
      </w:rPr>
      <w:drawing>
        <wp:anchor distT="0" distB="0" distL="114300" distR="114300" simplePos="0" relativeHeight="251658255" behindDoc="1" locked="1" layoutInCell="1" allowOverlap="1" wp14:anchorId="5A1749D0" wp14:editId="4A7786A8">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58254" behindDoc="1" locked="1" layoutInCell="1" allowOverlap="1" wp14:anchorId="6675A98E" wp14:editId="4AF69436">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E7A91" w14:textId="77777777" w:rsidR="00673509" w:rsidRPr="008F5280" w:rsidRDefault="00673509" w:rsidP="008F5280">
      <w:pPr>
        <w:pStyle w:val="FootnoteSeparator"/>
      </w:pPr>
    </w:p>
    <w:p w14:paraId="7400C2D9" w14:textId="77777777" w:rsidR="00673509" w:rsidRDefault="00673509"/>
  </w:footnote>
  <w:footnote w:type="continuationSeparator" w:id="0">
    <w:p w14:paraId="1A481AB6" w14:textId="77777777" w:rsidR="00673509" w:rsidRDefault="00673509" w:rsidP="008F5280">
      <w:pPr>
        <w:pStyle w:val="FootnoteSeparator"/>
      </w:pPr>
    </w:p>
    <w:p w14:paraId="5B357B67" w14:textId="77777777" w:rsidR="00673509" w:rsidRDefault="00673509"/>
    <w:p w14:paraId="2DCBFC9B" w14:textId="77777777" w:rsidR="00673509" w:rsidRDefault="00673509"/>
  </w:footnote>
  <w:footnote w:type="continuationNotice" w:id="1">
    <w:p w14:paraId="6075305A" w14:textId="77777777" w:rsidR="00673509" w:rsidRDefault="00673509" w:rsidP="00D55628"/>
    <w:p w14:paraId="0ACCD0A7" w14:textId="77777777" w:rsidR="00673509" w:rsidRDefault="00673509"/>
    <w:p w14:paraId="6E6D55FB" w14:textId="77777777" w:rsidR="00673509" w:rsidRDefault="00673509"/>
  </w:footnote>
  <w:footnote w:id="2">
    <w:p w14:paraId="52B7BC84" w14:textId="068AB05E" w:rsidR="00673509" w:rsidRPr="006869F7" w:rsidRDefault="00673509" w:rsidP="004F5553">
      <w:pPr>
        <w:pStyle w:val="FootnoteText"/>
        <w:tabs>
          <w:tab w:val="clear" w:pos="284"/>
        </w:tabs>
        <w:ind w:left="0" w:firstLine="0"/>
      </w:pPr>
      <w:r>
        <w:rPr>
          <w:rStyle w:val="FootnoteReference"/>
        </w:rPr>
        <w:footnoteRef/>
      </w:r>
      <w:r>
        <w:t xml:space="preserve"> According to the </w:t>
      </w:r>
      <w:r w:rsidRPr="006869F7">
        <w:rPr>
          <w:i/>
        </w:rPr>
        <w:t>Climate Change Act 2017</w:t>
      </w:r>
      <w:r>
        <w:rPr>
          <w:i/>
        </w:rPr>
        <w:t xml:space="preserve">, </w:t>
      </w:r>
      <w:r>
        <w:t xml:space="preserve">greenhouse gas emissions means emissions of carbon dioxide, methane, nitrous oxide or sulphur hexafluoride; or a hydrofluorocarbon or a perfluorocarbon that is specified in regulations made under the </w:t>
      </w:r>
      <w:r w:rsidRPr="006869F7">
        <w:rPr>
          <w:i/>
        </w:rPr>
        <w:t>National Greenhouse and Energy Reporting Act 2007</w:t>
      </w:r>
      <w:r>
        <w:t xml:space="preserve"> of the Commonwealth.</w:t>
      </w:r>
    </w:p>
  </w:footnote>
  <w:footnote w:id="3">
    <w:p w14:paraId="670362F8" w14:textId="38EF6C32" w:rsidR="00523886" w:rsidRDefault="00523886" w:rsidP="00523886">
      <w:pPr>
        <w:pStyle w:val="FootnoteText"/>
      </w:pPr>
      <w:r>
        <w:rPr>
          <w:rStyle w:val="FootnoteReference"/>
        </w:rPr>
        <w:footnoteRef/>
      </w:r>
      <w:r>
        <w:t xml:space="preserve"> </w:t>
      </w:r>
      <w:r w:rsidR="0035367D" w:rsidRPr="00D23648">
        <w:t xml:space="preserve">World Health Organisation </w:t>
      </w:r>
      <w:r w:rsidR="0035367D">
        <w:t xml:space="preserve">(WHO) </w:t>
      </w:r>
      <w:r w:rsidR="0035367D" w:rsidRPr="00D23648">
        <w:t xml:space="preserve">(2016) </w:t>
      </w:r>
      <w:r w:rsidR="0035367D" w:rsidRPr="00D23648">
        <w:rPr>
          <w:i/>
        </w:rPr>
        <w:t>Ambient air pollution: A global assessment of exposure and burden of disease</w:t>
      </w:r>
      <w:r w:rsidR="0035367D">
        <w:t xml:space="preserve">. </w:t>
      </w:r>
    </w:p>
  </w:footnote>
  <w:footnote w:id="4">
    <w:p w14:paraId="07F8A594" w14:textId="18F755F0" w:rsidR="00523886" w:rsidRDefault="00523886" w:rsidP="00523886">
      <w:pPr>
        <w:pStyle w:val="FootnoteText"/>
      </w:pPr>
      <w:r>
        <w:rPr>
          <w:rStyle w:val="FootnoteReference"/>
        </w:rPr>
        <w:footnoteRef/>
      </w:r>
      <w:r>
        <w:t xml:space="preserve"> Environment Protection Authority Victoria (2018).</w:t>
      </w:r>
      <w:r w:rsidR="0035367D" w:rsidRPr="0035367D">
        <w:rPr>
          <w:i/>
        </w:rPr>
        <w:t xml:space="preserve"> </w:t>
      </w:r>
      <w:r w:rsidR="0035367D">
        <w:rPr>
          <w:i/>
        </w:rPr>
        <w:t>Air Pollution in Victoria – A summary of the state of knowledge</w:t>
      </w:r>
      <w:r w:rsidR="0035367D">
        <w:t>.</w:t>
      </w:r>
    </w:p>
  </w:footnote>
  <w:footnote w:id="5">
    <w:p w14:paraId="49EC9472" w14:textId="185AFB75" w:rsidR="00673509" w:rsidRDefault="00673509">
      <w:pPr>
        <w:pStyle w:val="FootnoteText"/>
      </w:pPr>
      <w:r>
        <w:rPr>
          <w:rStyle w:val="FootnoteReference"/>
        </w:rPr>
        <w:footnoteRef/>
      </w:r>
      <w:r>
        <w:t xml:space="preserve"> </w:t>
      </w:r>
      <w:r w:rsidR="0035367D">
        <w:t>Ibid.</w:t>
      </w:r>
      <w:r>
        <w:t xml:space="preserve"> </w:t>
      </w:r>
    </w:p>
  </w:footnote>
  <w:footnote w:id="6">
    <w:p w14:paraId="502C2D36" w14:textId="5896CB3B" w:rsidR="007167A7" w:rsidRDefault="007167A7" w:rsidP="0035367D">
      <w:pPr>
        <w:pStyle w:val="FootnoteText"/>
        <w:tabs>
          <w:tab w:val="clear" w:pos="284"/>
        </w:tabs>
        <w:ind w:left="0" w:firstLine="0"/>
      </w:pPr>
      <w:r>
        <w:rPr>
          <w:rStyle w:val="FootnoteReference"/>
        </w:rPr>
        <w:footnoteRef/>
      </w:r>
      <w:r>
        <w:t xml:space="preserve"> </w:t>
      </w:r>
      <w:r w:rsidRPr="005139E8">
        <w:t xml:space="preserve">A threshold is a level of exposure below which </w:t>
      </w:r>
      <w:r>
        <w:t>there are assumed to be no associated health effects. Thresholds tend to exist at the individual level, however substantial evidence indicates there is no threshold at the population level. I.e. even at low background concentrations, some vulnerable people are exposed to concentrations that adversely affect health. – Department of Environment and Conservation NSW (2005).</w:t>
      </w:r>
    </w:p>
  </w:footnote>
  <w:footnote w:id="7">
    <w:p w14:paraId="2F3A1233" w14:textId="54168E62" w:rsidR="00673509" w:rsidRPr="006B6EF9" w:rsidRDefault="00673509">
      <w:pPr>
        <w:pStyle w:val="FootnoteText"/>
        <w:rPr>
          <w:i/>
        </w:rPr>
      </w:pPr>
      <w:r>
        <w:rPr>
          <w:rStyle w:val="FootnoteReference"/>
        </w:rPr>
        <w:footnoteRef/>
      </w:r>
      <w:r>
        <w:t xml:space="preserve"> </w:t>
      </w:r>
      <w:r w:rsidR="0035367D" w:rsidRPr="00D23648">
        <w:t xml:space="preserve">World Health Organisation </w:t>
      </w:r>
      <w:r w:rsidR="0035367D">
        <w:t xml:space="preserve">(WHO) </w:t>
      </w:r>
      <w:r w:rsidR="0035367D" w:rsidRPr="00D23648">
        <w:t>(2016)</w:t>
      </w:r>
      <w:r w:rsidR="0035367D">
        <w:t>.</w:t>
      </w:r>
    </w:p>
  </w:footnote>
  <w:footnote w:id="8">
    <w:p w14:paraId="59FB92C4" w14:textId="1A696C5E" w:rsidR="00673509" w:rsidRDefault="00673509" w:rsidP="00D5684A">
      <w:pPr>
        <w:pStyle w:val="FootnoteText"/>
      </w:pPr>
      <w:r>
        <w:rPr>
          <w:rStyle w:val="FootnoteReference"/>
        </w:rPr>
        <w:footnoteRef/>
      </w:r>
      <w:r>
        <w:t xml:space="preserve"> Ibid.</w:t>
      </w:r>
    </w:p>
  </w:footnote>
  <w:footnote w:id="9">
    <w:p w14:paraId="7C566873" w14:textId="42BBC26F" w:rsidR="00673509" w:rsidRPr="00223611" w:rsidRDefault="00673509">
      <w:pPr>
        <w:pStyle w:val="FootnoteText"/>
      </w:pPr>
      <w:r>
        <w:rPr>
          <w:rStyle w:val="FootnoteReference"/>
        </w:rPr>
        <w:footnoteRef/>
      </w:r>
      <w:r>
        <w:t xml:space="preserve"> Dean &amp; Green (2018) </w:t>
      </w:r>
      <w:r>
        <w:rPr>
          <w:i/>
        </w:rPr>
        <w:t xml:space="preserve">Climate change, air pollution and human health in Sydney, Australia: A review of the literature. </w:t>
      </w:r>
      <w:r>
        <w:t>Environmental Research Letters, 13.</w:t>
      </w:r>
    </w:p>
  </w:footnote>
  <w:footnote w:id="10">
    <w:p w14:paraId="53DC7C90" w14:textId="3D6E11C2" w:rsidR="00673509" w:rsidRPr="006E779D" w:rsidRDefault="00673509">
      <w:pPr>
        <w:pStyle w:val="FootnoteText"/>
      </w:pPr>
      <w:r>
        <w:rPr>
          <w:rStyle w:val="FootnoteReference"/>
        </w:rPr>
        <w:footnoteRef/>
      </w:r>
      <w:r>
        <w:t xml:space="preserve"> West et. al. (2013) </w:t>
      </w:r>
      <w:r>
        <w:rPr>
          <w:i/>
        </w:rPr>
        <w:t xml:space="preserve">Co-benefits of mitigating global greenhouse gas emissions for future air quality and human health, </w:t>
      </w:r>
      <w:r>
        <w:t>Nature Climate Change 3, 885-889 (2013).</w:t>
      </w:r>
    </w:p>
  </w:footnote>
  <w:footnote w:id="11">
    <w:p w14:paraId="30600BC3" w14:textId="3C89BC7B" w:rsidR="00673509" w:rsidRDefault="00673509">
      <w:pPr>
        <w:pStyle w:val="FootnoteText"/>
      </w:pPr>
      <w:r>
        <w:rPr>
          <w:rStyle w:val="FootnoteReference"/>
        </w:rPr>
        <w:footnoteRef/>
      </w:r>
      <w:r>
        <w:t xml:space="preserve"> It is difficult to quantify these health benefits given the secondary nature of O</w:t>
      </w:r>
      <w:r w:rsidRPr="002A07CA">
        <w:rPr>
          <w:vertAlign w:val="subscript"/>
        </w:rPr>
        <w:t>3</w:t>
      </w:r>
      <w:r>
        <w:rPr>
          <w:vertAlign w:val="subscript"/>
        </w:rPr>
        <w:t xml:space="preserve"> </w:t>
      </w:r>
      <w:r>
        <w:t>and the uncertainty of its generation in Victoria.</w:t>
      </w:r>
    </w:p>
  </w:footnote>
  <w:footnote w:id="12">
    <w:p w14:paraId="525DC85B" w14:textId="756D66C8" w:rsidR="00673509" w:rsidRDefault="00673509" w:rsidP="004D2D73">
      <w:pPr>
        <w:pStyle w:val="FootnoteText"/>
        <w:ind w:left="0" w:firstLine="0"/>
      </w:pPr>
      <w:r>
        <w:rPr>
          <w:rStyle w:val="FootnoteReference"/>
        </w:rPr>
        <w:footnoteRef/>
      </w:r>
      <w:r>
        <w:t xml:space="preserve"> Environment Protection Authority Victoria (2018)</w:t>
      </w:r>
      <w:r w:rsidR="0035367D">
        <w:t>.</w:t>
      </w:r>
    </w:p>
  </w:footnote>
  <w:footnote w:id="13">
    <w:p w14:paraId="72DC2079" w14:textId="77777777" w:rsidR="00673509" w:rsidRDefault="00673509" w:rsidP="004D2D73">
      <w:pPr>
        <w:pStyle w:val="FootnoteText"/>
      </w:pPr>
      <w:r>
        <w:rPr>
          <w:rStyle w:val="FootnoteReference"/>
        </w:rPr>
        <w:footnoteRef/>
      </w:r>
      <w:r>
        <w:t xml:space="preserve"> </w:t>
      </w:r>
      <w:r w:rsidRPr="00D23648">
        <w:t xml:space="preserve">Victorian Government (2018) </w:t>
      </w:r>
      <w:r w:rsidRPr="00D23648">
        <w:rPr>
          <w:i/>
        </w:rPr>
        <w:t>Victorian Greenhouse Gas Emissions Report.</w:t>
      </w:r>
    </w:p>
  </w:footnote>
  <w:footnote w:id="14">
    <w:p w14:paraId="2A342637" w14:textId="3438F031" w:rsidR="00673509" w:rsidRDefault="00673509" w:rsidP="00BA1E04">
      <w:pPr>
        <w:pStyle w:val="FootnoteText"/>
        <w:tabs>
          <w:tab w:val="clear" w:pos="284"/>
        </w:tabs>
        <w:ind w:left="142" w:hanging="142"/>
      </w:pPr>
      <w:r>
        <w:rPr>
          <w:rStyle w:val="FootnoteReference"/>
        </w:rPr>
        <w:footnoteRef/>
      </w:r>
      <w:r>
        <w:t xml:space="preserve"> </w:t>
      </w:r>
      <w:r w:rsidRPr="0031234A">
        <w:t>An impact pathway approach is a systematic method for identifying and tracing the effects of air pollution, from changes in emissions through to impacts on outcomes that society values.</w:t>
      </w:r>
    </w:p>
  </w:footnote>
  <w:footnote w:id="15">
    <w:p w14:paraId="2F53FE86" w14:textId="77777777" w:rsidR="00673509" w:rsidRPr="004D4BC4" w:rsidRDefault="00673509" w:rsidP="004F5553">
      <w:pPr>
        <w:pStyle w:val="FootnoteText"/>
        <w:tabs>
          <w:tab w:val="clear" w:pos="284"/>
        </w:tabs>
        <w:ind w:left="142" w:hanging="142"/>
      </w:pPr>
      <w:r>
        <w:rPr>
          <w:rStyle w:val="FootnoteReference"/>
        </w:rPr>
        <w:footnoteRef/>
      </w:r>
      <w:r>
        <w:t xml:space="preserve"> PAE Holmes (2013) </w:t>
      </w:r>
      <w:r>
        <w:rPr>
          <w:i/>
        </w:rPr>
        <w:t xml:space="preserve">Methodology for valuing the health impacts of changes in particle emissions – Final report – </w:t>
      </w:r>
      <w:r>
        <w:t>prepared for NSW Environment Protection Authority.</w:t>
      </w:r>
    </w:p>
  </w:footnote>
  <w:footnote w:id="16">
    <w:p w14:paraId="44582994" w14:textId="77777777" w:rsidR="00633ADC" w:rsidRPr="008C487B" w:rsidRDefault="00633ADC" w:rsidP="008C487B">
      <w:pPr>
        <w:pStyle w:val="FootnoteText"/>
      </w:pPr>
      <w:r>
        <w:rPr>
          <w:rStyle w:val="FootnoteReference"/>
        </w:rPr>
        <w:footnoteRef/>
      </w:r>
      <w:r>
        <w:t xml:space="preserve"> Parry et al. (2014) </w:t>
      </w:r>
      <w:r>
        <w:rPr>
          <w:i/>
        </w:rPr>
        <w:t xml:space="preserve">Getting energy prices right: From principle to practice. </w:t>
      </w:r>
      <w:r>
        <w:t>International Monetary Fund.</w:t>
      </w:r>
    </w:p>
  </w:footnote>
  <w:footnote w:id="17">
    <w:p w14:paraId="053FF6E0" w14:textId="77777777" w:rsidR="00633ADC" w:rsidRDefault="00633ADC" w:rsidP="008C487B">
      <w:pPr>
        <w:pStyle w:val="FootnoteText"/>
      </w:pPr>
      <w:r>
        <w:rPr>
          <w:rStyle w:val="FootnoteReference"/>
        </w:rPr>
        <w:footnoteRef/>
      </w:r>
      <w:r>
        <w:t xml:space="preserve"> Parry et al. (2014); PAE Holmes (2013).</w:t>
      </w:r>
    </w:p>
  </w:footnote>
  <w:footnote w:id="18">
    <w:p w14:paraId="01EE9644" w14:textId="77777777" w:rsidR="00633ADC" w:rsidRPr="008C487B" w:rsidRDefault="00633ADC">
      <w:pPr>
        <w:pStyle w:val="FootnoteText"/>
        <w:rPr>
          <w:i/>
        </w:rPr>
      </w:pPr>
      <w:r>
        <w:rPr>
          <w:rStyle w:val="FootnoteReference"/>
        </w:rPr>
        <w:footnoteRef/>
      </w:r>
      <w:r>
        <w:t xml:space="preserve"> Australian Academy of Technological Sciences and Engineering (ATSE) (2009). </w:t>
      </w:r>
      <w:r>
        <w:rPr>
          <w:i/>
        </w:rPr>
        <w:t>The hidden costs of electricity: Externalities of power generation in Australia.</w:t>
      </w:r>
    </w:p>
  </w:footnote>
  <w:footnote w:id="19">
    <w:p w14:paraId="39076C98" w14:textId="77777777" w:rsidR="00633ADC" w:rsidRPr="008C487B" w:rsidRDefault="00633ADC">
      <w:pPr>
        <w:pStyle w:val="FootnoteText"/>
      </w:pPr>
      <w:r>
        <w:rPr>
          <w:rStyle w:val="FootnoteReference"/>
        </w:rPr>
        <w:footnoteRef/>
      </w:r>
      <w:r>
        <w:t xml:space="preserve"> Ward &amp; Power (2015). </w:t>
      </w:r>
      <w:r>
        <w:rPr>
          <w:i/>
        </w:rPr>
        <w:t xml:space="preserve">Cleaning up Victoria’s power sector: The full social cost of Hazelwood power station. </w:t>
      </w:r>
      <w:r>
        <w:t xml:space="preserve">Harvard Kennedy School of Government. </w:t>
      </w:r>
    </w:p>
  </w:footnote>
  <w:footnote w:id="20">
    <w:p w14:paraId="4673A757" w14:textId="2A7DFB3A" w:rsidR="00633ADC" w:rsidRPr="00566060" w:rsidRDefault="00633ADC" w:rsidP="004F5553">
      <w:pPr>
        <w:pStyle w:val="FootnoteText"/>
        <w:tabs>
          <w:tab w:val="clear" w:pos="284"/>
        </w:tabs>
        <w:ind w:left="142" w:hanging="142"/>
      </w:pPr>
      <w:r>
        <w:rPr>
          <w:rStyle w:val="FootnoteReference"/>
        </w:rPr>
        <w:footnoteRef/>
      </w:r>
      <w:r>
        <w:t xml:space="preserve"> World Health Organisation (2014) </w:t>
      </w:r>
      <w:r>
        <w:rPr>
          <w:i/>
        </w:rPr>
        <w:t xml:space="preserve">WHO Expert Meeting: Methods and tools for assessing the health risks of air pollution at local, national and international level, </w:t>
      </w:r>
      <w:r>
        <w:t>Meeting report, Bonn, Germany, 12-13 May 2014.</w:t>
      </w:r>
    </w:p>
  </w:footnote>
  <w:footnote w:id="21">
    <w:p w14:paraId="16AA2ECD" w14:textId="77777777" w:rsidR="00673509" w:rsidRDefault="00673509">
      <w:pPr>
        <w:pStyle w:val="FootnoteText"/>
      </w:pPr>
      <w:r>
        <w:rPr>
          <w:rStyle w:val="FootnoteReference"/>
        </w:rPr>
        <w:footnoteRef/>
      </w:r>
      <w:r>
        <w:t xml:space="preserve"> </w:t>
      </w:r>
      <w:r w:rsidRPr="008B7D40">
        <w:t>NEM Review, Metered generation (As generated), extracted 3 July 2018.</w:t>
      </w:r>
    </w:p>
  </w:footnote>
  <w:footnote w:id="22">
    <w:p w14:paraId="4DF648F1" w14:textId="3A425609" w:rsidR="00673509" w:rsidRPr="00FB238B" w:rsidRDefault="00673509" w:rsidP="00FE2CA7">
      <w:pPr>
        <w:pStyle w:val="FootnoteText"/>
        <w:rPr>
          <w:i/>
        </w:rPr>
      </w:pPr>
      <w:r>
        <w:rPr>
          <w:rStyle w:val="FootnoteReference"/>
        </w:rPr>
        <w:footnoteRef/>
      </w:r>
      <w:r>
        <w:t xml:space="preserve"> National Academy of Sciences (NAS) (2010) </w:t>
      </w:r>
      <w:r>
        <w:rPr>
          <w:i/>
        </w:rPr>
        <w:t xml:space="preserve">Hidden costs of energy: Unpriced consequences of energy production and use. </w:t>
      </w:r>
    </w:p>
  </w:footnote>
  <w:footnote w:id="23">
    <w:p w14:paraId="2A0643B9" w14:textId="110053F1" w:rsidR="00673509" w:rsidRDefault="00673509" w:rsidP="004F5553">
      <w:pPr>
        <w:pStyle w:val="FootnoteText"/>
        <w:tabs>
          <w:tab w:val="clear" w:pos="284"/>
        </w:tabs>
        <w:ind w:left="142" w:hanging="142"/>
      </w:pPr>
      <w:r>
        <w:rPr>
          <w:rStyle w:val="FootnoteReference"/>
        </w:rPr>
        <w:footnoteRef/>
      </w:r>
      <w:r>
        <w:t xml:space="preserve"> </w:t>
      </w:r>
      <w:r w:rsidRPr="004D2D73">
        <w:t>The study estimates mortality impacts associated with emissions of PM</w:t>
      </w:r>
      <w:r w:rsidRPr="004D2D73">
        <w:rPr>
          <w:vertAlign w:val="subscript"/>
        </w:rPr>
        <w:t>2.5</w:t>
      </w:r>
      <w:r w:rsidRPr="004D2D73">
        <w:t>, and the chronic morbidity impacts of PM</w:t>
      </w:r>
      <w:r w:rsidRPr="004D2D73">
        <w:rPr>
          <w:vertAlign w:val="subscript"/>
        </w:rPr>
        <w:t>10</w:t>
      </w:r>
      <w:r w:rsidRPr="004D2D73">
        <w:t>. In reporting the morbidity damages due to emissions of PM</w:t>
      </w:r>
      <w:r w:rsidRPr="004D2D73">
        <w:rPr>
          <w:vertAlign w:val="subscript"/>
        </w:rPr>
        <w:t>10</w:t>
      </w:r>
      <w:r w:rsidRPr="004D2D73">
        <w:t xml:space="preserve">, the </w:t>
      </w:r>
      <w:r w:rsidRPr="004F5553">
        <w:rPr>
          <w:rStyle w:val="BodyTextChar"/>
        </w:rPr>
        <w:t>study nets out the mortality damages due to PM</w:t>
      </w:r>
      <w:r w:rsidRPr="004F5553">
        <w:rPr>
          <w:rStyle w:val="BodyTextChar"/>
          <w:vertAlign w:val="subscript"/>
        </w:rPr>
        <w:t>2.5</w:t>
      </w:r>
      <w:r w:rsidRPr="004F5553">
        <w:rPr>
          <w:rStyle w:val="BodyTextChar"/>
        </w:rPr>
        <w:t>. In effect the damages for PM</w:t>
      </w:r>
      <w:r w:rsidRPr="004F5553">
        <w:rPr>
          <w:rStyle w:val="BodyTextChar"/>
          <w:vertAlign w:val="subscript"/>
        </w:rPr>
        <w:t>10</w:t>
      </w:r>
      <w:r w:rsidRPr="004F5553">
        <w:rPr>
          <w:rStyle w:val="BodyTextChar"/>
        </w:rPr>
        <w:t xml:space="preserve"> are expressed as PM</w:t>
      </w:r>
      <w:r w:rsidRPr="004F5553">
        <w:rPr>
          <w:rStyle w:val="BodyTextChar"/>
          <w:vertAlign w:val="subscript"/>
        </w:rPr>
        <w:t>10</w:t>
      </w:r>
      <w:r w:rsidRPr="004F5553">
        <w:rPr>
          <w:rStyle w:val="BodyTextChar"/>
        </w:rPr>
        <w:t>-PM</w:t>
      </w:r>
      <w:r w:rsidRPr="004F5553">
        <w:rPr>
          <w:rStyle w:val="BodyTextChar"/>
          <w:vertAlign w:val="subscript"/>
        </w:rPr>
        <w:t>2.5</w:t>
      </w:r>
      <w:r w:rsidRPr="004F5553">
        <w:rPr>
          <w:rStyle w:val="BodyTextChar"/>
        </w:rPr>
        <w:t xml:space="preserve"> - Refer to NAS (2010), Appendix C Page 428.</w:t>
      </w:r>
    </w:p>
  </w:footnote>
  <w:footnote w:id="24">
    <w:p w14:paraId="0961B4BD" w14:textId="3411D732" w:rsidR="00673509" w:rsidRPr="004311CB" w:rsidRDefault="00673509" w:rsidP="004311CB">
      <w:pPr>
        <w:pStyle w:val="FootnoteText"/>
        <w:tabs>
          <w:tab w:val="clear" w:pos="284"/>
        </w:tabs>
        <w:ind w:left="142" w:hanging="142"/>
      </w:pPr>
      <w:r>
        <w:rPr>
          <w:rStyle w:val="FootnoteReference"/>
        </w:rPr>
        <w:footnoteRef/>
      </w:r>
      <w:r>
        <w:t xml:space="preserve"> </w:t>
      </w:r>
      <w:r w:rsidRPr="00F45EC6">
        <w:t>The stack height of the Hazelwood power plant was close to the median of US plants. The population density of the Gippsland region is estimated at 6.2 persons per square kilometre (around the 14</w:t>
      </w:r>
      <w:r w:rsidRPr="00F45EC6">
        <w:rPr>
          <w:vertAlign w:val="superscript"/>
        </w:rPr>
        <w:t>th</w:t>
      </w:r>
      <w:r w:rsidRPr="00F45EC6">
        <w:t xml:space="preserve"> percentile of population densities around US plants). Hazelwood’s emissions intensity for SO</w:t>
      </w:r>
      <w:r w:rsidRPr="00F45EC6">
        <w:rPr>
          <w:vertAlign w:val="subscript"/>
        </w:rPr>
        <w:t xml:space="preserve">2 </w:t>
      </w:r>
      <w:r w:rsidRPr="00F45EC6">
        <w:t>and PM</w:t>
      </w:r>
      <w:r w:rsidRPr="00F45EC6">
        <w:rPr>
          <w:vertAlign w:val="subscript"/>
        </w:rPr>
        <w:t xml:space="preserve">2.5 </w:t>
      </w:r>
      <w:r w:rsidRPr="00F45EC6">
        <w:t>was around the 20</w:t>
      </w:r>
      <w:r w:rsidRPr="00F45EC6">
        <w:rPr>
          <w:vertAlign w:val="superscript"/>
        </w:rPr>
        <w:t>th</w:t>
      </w:r>
      <w:r w:rsidRPr="00F45EC6">
        <w:t xml:space="preserve"> percentile of US power plants, for PM</w:t>
      </w:r>
      <w:r w:rsidRPr="00F45EC6">
        <w:rPr>
          <w:vertAlign w:val="subscript"/>
        </w:rPr>
        <w:t xml:space="preserve">10 </w:t>
      </w:r>
      <w:r w:rsidRPr="00F45EC6">
        <w:t>around the 40</w:t>
      </w:r>
      <w:r w:rsidRPr="00F45EC6">
        <w:rPr>
          <w:vertAlign w:val="superscript"/>
        </w:rPr>
        <w:t>th</w:t>
      </w:r>
      <w:r w:rsidRPr="00F45EC6">
        <w:t xml:space="preserve"> percentile, and for NO</w:t>
      </w:r>
      <w:r w:rsidRPr="00F45EC6">
        <w:rPr>
          <w:vertAlign w:val="subscript"/>
        </w:rPr>
        <w:t xml:space="preserve">x </w:t>
      </w:r>
      <w:r w:rsidRPr="00F45EC6">
        <w:t>around the 60</w:t>
      </w:r>
      <w:r w:rsidRPr="00F45EC6">
        <w:rPr>
          <w:vertAlign w:val="superscript"/>
        </w:rPr>
        <w:t>th</w:t>
      </w:r>
      <w:r w:rsidRPr="00F45EC6">
        <w:t xml:space="preserve"> percentile.</w:t>
      </w:r>
      <w:r>
        <w:t xml:space="preserve"> </w:t>
      </w:r>
    </w:p>
  </w:footnote>
  <w:footnote w:id="25">
    <w:p w14:paraId="50FAA0DF" w14:textId="44F36F12" w:rsidR="00673509" w:rsidRDefault="00673509">
      <w:pPr>
        <w:pStyle w:val="FootnoteText"/>
      </w:pPr>
      <w:r>
        <w:rPr>
          <w:rStyle w:val="FootnoteReference"/>
        </w:rPr>
        <w:footnoteRef/>
      </w:r>
      <w:r>
        <w:t xml:space="preserve"> The dose-response describes the change in effect caused by differing levels of exposure (doses) to a pollutant.</w:t>
      </w:r>
    </w:p>
  </w:footnote>
  <w:footnote w:id="26">
    <w:p w14:paraId="30E08DBA" w14:textId="77777777" w:rsidR="00673509" w:rsidRDefault="00673509" w:rsidP="006C3663">
      <w:pPr>
        <w:pStyle w:val="FootnoteText"/>
      </w:pPr>
      <w:r>
        <w:rPr>
          <w:rStyle w:val="FootnoteReference"/>
        </w:rPr>
        <w:footnoteRef/>
      </w:r>
      <w:r>
        <w:t xml:space="preserve"> Victorian Environment Protection Authority (2018).</w:t>
      </w:r>
    </w:p>
  </w:footnote>
  <w:footnote w:id="27">
    <w:p w14:paraId="31A9EAB1" w14:textId="77777777" w:rsidR="00673509" w:rsidRDefault="00673509" w:rsidP="006C3663">
      <w:pPr>
        <w:pStyle w:val="FootnoteText"/>
      </w:pPr>
      <w:r>
        <w:rPr>
          <w:rStyle w:val="FootnoteReference"/>
        </w:rPr>
        <w:footnoteRef/>
      </w:r>
      <w:r>
        <w:t xml:space="preserve"> </w:t>
      </w:r>
      <w:r w:rsidRPr="00FA5B76">
        <w:t xml:space="preserve">World Health Organisation (2012) </w:t>
      </w:r>
      <w:r w:rsidRPr="00FA5B76">
        <w:rPr>
          <w:i/>
        </w:rPr>
        <w:t>Diesel engine exhaust carcinogenic, International Agency for Research on Cancer (IARC)</w:t>
      </w:r>
      <w:r w:rsidRPr="00FA5B76">
        <w:t>, Press Release No. 213.</w:t>
      </w:r>
    </w:p>
  </w:footnote>
  <w:footnote w:id="28">
    <w:p w14:paraId="5E9D6523" w14:textId="18DCEC0F" w:rsidR="00673509" w:rsidRDefault="00673509">
      <w:pPr>
        <w:pStyle w:val="FootnoteText"/>
      </w:pPr>
      <w:r>
        <w:rPr>
          <w:rStyle w:val="FootnoteReference"/>
        </w:rPr>
        <w:footnoteRef/>
      </w:r>
      <w:r>
        <w:t xml:space="preserve"> Marsden Jacob &amp; Pacific Environment Limited (2016) Review of the </w:t>
      </w:r>
      <w:r>
        <w:rPr>
          <w:i/>
        </w:rPr>
        <w:t xml:space="preserve">Fuel Quality Standards Act 2000 </w:t>
      </w:r>
      <w:r>
        <w:t>– Prepared for the Australian Government Department of the Environment.</w:t>
      </w:r>
    </w:p>
  </w:footnote>
  <w:footnote w:id="29">
    <w:p w14:paraId="573DCB93" w14:textId="77777777" w:rsidR="00673509" w:rsidRPr="006C5B83" w:rsidRDefault="00673509">
      <w:pPr>
        <w:pStyle w:val="FootnoteText"/>
        <w:rPr>
          <w:i/>
        </w:rPr>
      </w:pPr>
      <w:r>
        <w:rPr>
          <w:rStyle w:val="FootnoteReference"/>
        </w:rPr>
        <w:footnoteRef/>
      </w:r>
      <w:r>
        <w:t xml:space="preserve"> Bureau of Transport and Regional Economics (2005). </w:t>
      </w:r>
      <w:r>
        <w:rPr>
          <w:i/>
        </w:rPr>
        <w:t>Health impacts of transport emissions in Australia: Economic costs.</w:t>
      </w:r>
    </w:p>
  </w:footnote>
  <w:footnote w:id="30">
    <w:p w14:paraId="78B7BAC3" w14:textId="77777777" w:rsidR="00673509" w:rsidRDefault="00673509">
      <w:pPr>
        <w:pStyle w:val="FootnoteText"/>
      </w:pPr>
      <w:r>
        <w:rPr>
          <w:rStyle w:val="FootnoteReference"/>
        </w:rPr>
        <w:footnoteRef/>
      </w:r>
      <w:r>
        <w:t xml:space="preserve"> Australian Bureau of Statistics (2018) </w:t>
      </w:r>
      <w:r w:rsidRPr="00893B0C">
        <w:t>9309.0 - Motor Vehicle Census, Australia, 31 Jan 2018</w:t>
      </w:r>
      <w:r>
        <w:t>.</w:t>
      </w:r>
    </w:p>
  </w:footnote>
  <w:footnote w:id="31">
    <w:p w14:paraId="1E83DA1F" w14:textId="77777777" w:rsidR="00673509" w:rsidRPr="007375D1" w:rsidRDefault="00673509" w:rsidP="00F065BD">
      <w:pPr>
        <w:pStyle w:val="FootnoteText"/>
      </w:pPr>
      <w:r>
        <w:rPr>
          <w:rStyle w:val="FootnoteReference"/>
        </w:rPr>
        <w:footnoteRef/>
      </w:r>
      <w:r>
        <w:t xml:space="preserve"> Health Effects Institute (2018). </w:t>
      </w:r>
      <w:r>
        <w:rPr>
          <w:i/>
        </w:rPr>
        <w:t>Impacts of regulations on air quality and emergency department visits in the Atlanta metropolitan area, 1999-2013.</w:t>
      </w:r>
    </w:p>
  </w:footnote>
  <w:footnote w:id="32">
    <w:p w14:paraId="68A10BBC" w14:textId="1FDC42C1" w:rsidR="00673509" w:rsidRDefault="00673509" w:rsidP="00970C32">
      <w:pPr>
        <w:pStyle w:val="FootnoteText"/>
        <w:tabs>
          <w:tab w:val="clear" w:pos="284"/>
        </w:tabs>
        <w:ind w:left="142" w:hanging="142"/>
      </w:pPr>
      <w:r>
        <w:rPr>
          <w:rStyle w:val="FootnoteReference"/>
        </w:rPr>
        <w:footnoteRef/>
      </w:r>
      <w:r>
        <w:t xml:space="preserve"> Intergovernmental Panel on Climate Change (IPCC) (2018), Global Warming of 1.5C: An IPCC Special Report on the impacts of global warming of 1.5C above pre-industrial levels and related global greenhouse gas emission pathways, in the context of strengthening the global response to the threat of climate change, sustainable development, and efforts to eradicate poverty, Summary for Policymakers, October 2018, </w:t>
      </w:r>
      <w:hyperlink r:id="rId1" w:history="1">
        <w:r w:rsidRPr="0094737A">
          <w:rPr>
            <w:rStyle w:val="Hyperlink"/>
          </w:rPr>
          <w:t>https://www.ipcc.ch/sr15/</w:t>
        </w:r>
      </w:hyperlink>
      <w:r>
        <w:t xml:space="preserve">. </w:t>
      </w:r>
    </w:p>
  </w:footnote>
  <w:footnote w:id="33">
    <w:p w14:paraId="2B1FCA15" w14:textId="572A95D3" w:rsidR="00673509" w:rsidRDefault="00673509" w:rsidP="00970C32">
      <w:pPr>
        <w:pStyle w:val="FootnoteText"/>
        <w:tabs>
          <w:tab w:val="clear" w:pos="284"/>
        </w:tabs>
        <w:ind w:left="142" w:hanging="142"/>
      </w:pPr>
      <w:r>
        <w:rPr>
          <w:rStyle w:val="FootnoteReference"/>
        </w:rPr>
        <w:footnoteRef/>
      </w:r>
      <w:r>
        <w:t xml:space="preserve"> World Health Organisation (2018), COP24 Special Report Health and Climate Change, </w:t>
      </w:r>
      <w:hyperlink r:id="rId2" w:history="1">
        <w:r w:rsidRPr="00AC6F3C">
          <w:rPr>
            <w:rStyle w:val="Hyperlink"/>
          </w:rPr>
          <w:t>https://apps.who.int/iris/bitstream/handle/10665/276405/9789241514972-eng.pdf</w:t>
        </w:r>
      </w:hyperlink>
      <w:r>
        <w:t xml:space="preserve">. </w:t>
      </w:r>
    </w:p>
  </w:footnote>
  <w:footnote w:id="34">
    <w:p w14:paraId="3E004E96" w14:textId="77777777" w:rsidR="00673509" w:rsidRPr="009B7815" w:rsidRDefault="00673509">
      <w:pPr>
        <w:pStyle w:val="FootnoteText"/>
      </w:pPr>
      <w:r>
        <w:rPr>
          <w:rStyle w:val="FootnoteReference"/>
        </w:rPr>
        <w:footnoteRef/>
      </w:r>
      <w:r>
        <w:t xml:space="preserve"> Aurecon (2018). </w:t>
      </w:r>
      <w:r>
        <w:rPr>
          <w:i/>
        </w:rPr>
        <w:t xml:space="preserve">AV/ZEV Environmental &amp; Health Impact Assessment – Final report – </w:t>
      </w:r>
      <w:r>
        <w:t xml:space="preserve">Prepared for Infrastructure Victoria.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AF69" w14:textId="77777777" w:rsidR="00673509" w:rsidRDefault="00673509" w:rsidP="00254A01">
    <w:pPr>
      <w:pStyle w:val="Header"/>
    </w:pPr>
    <w:r>
      <w:rPr>
        <w:noProof/>
      </w:rPr>
      <mc:AlternateContent>
        <mc:Choice Requires="wps">
          <w:drawing>
            <wp:anchor distT="45720" distB="45720" distL="114300" distR="114300" simplePos="0" relativeHeight="251658250" behindDoc="0" locked="0" layoutInCell="1" allowOverlap="1" wp14:anchorId="72E21154" wp14:editId="19E80643">
              <wp:simplePos x="0" y="0"/>
              <wp:positionH relativeFrom="column">
                <wp:posOffset>1945640</wp:posOffset>
              </wp:positionH>
              <wp:positionV relativeFrom="paragraph">
                <wp:posOffset>172085</wp:posOffset>
              </wp:positionV>
              <wp:extent cx="4733925" cy="871220"/>
              <wp:effectExtent l="0" t="0" r="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871220"/>
                      </a:xfrm>
                      <a:prstGeom prst="rect">
                        <a:avLst/>
                      </a:prstGeom>
                      <a:noFill/>
                      <a:ln w="9525">
                        <a:noFill/>
                        <a:miter lim="800000"/>
                        <a:headEnd/>
                        <a:tailEnd/>
                      </a:ln>
                    </wps:spPr>
                    <wps:txbx>
                      <w:txbxContent>
                        <w:p w14:paraId="39508C19" w14:textId="77777777" w:rsidR="00673509" w:rsidRPr="005D7583" w:rsidRDefault="00673509" w:rsidP="00584F0A">
                          <w:pPr>
                            <w:pStyle w:val="Heading1"/>
                            <w:jc w:val="right"/>
                            <w:rPr>
                              <w:color w:val="FFFFFF" w:themeColor="background1"/>
                            </w:rPr>
                          </w:pPr>
                          <w:r w:rsidRPr="005D7583">
                            <w:rPr>
                              <w:color w:val="FFFFFF" w:themeColor="background1"/>
                            </w:rPr>
                            <w:t>Estimating the health cos</w:t>
                          </w:r>
                          <w:r>
                            <w:rPr>
                              <w:color w:val="FFFFFF" w:themeColor="background1"/>
                            </w:rPr>
                            <w:t>ts of air pollution in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21154" id="_x0000_t202" coordsize="21600,21600" o:spt="202" path="m,l,21600r21600,l21600,xe">
              <v:stroke joinstyle="miter"/>
              <v:path gradientshapeok="t" o:connecttype="rect"/>
            </v:shapetype>
            <v:shape id="_x0000_s1027" type="#_x0000_t202" style="position:absolute;left:0;text-align:left;margin-left:153.2pt;margin-top:13.55pt;width:372.75pt;height:68.6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" filled="f" stroked="f">
              <v:textbox>
                <w:txbxContent>
                  <w:p w14:paraId="39508C19" w14:textId="77777777" w:rsidR="00673509" w:rsidRPr="005D7583" w:rsidRDefault="00673509" w:rsidP="00584F0A">
                    <w:pPr>
                      <w:pStyle w:val="Heading1"/>
                      <w:jc w:val="right"/>
                      <w:rPr>
                        <w:color w:val="FFFFFF" w:themeColor="background1"/>
                      </w:rPr>
                    </w:pPr>
                    <w:r w:rsidRPr="005D7583">
                      <w:rPr>
                        <w:color w:val="FFFFFF" w:themeColor="background1"/>
                      </w:rPr>
                      <w:t>Estimating the health cos</w:t>
                    </w:r>
                    <w:r>
                      <w:rPr>
                        <w:color w:val="FFFFFF" w:themeColor="background1"/>
                      </w:rPr>
                      <w:t>ts of air pollution in Victoria</w:t>
                    </w:r>
                  </w:p>
                </w:txbxContent>
              </v:textbox>
              <w10:wrap type="square"/>
            </v:shape>
          </w:pict>
        </mc:Fallback>
      </mc:AlternateContent>
    </w:r>
    <w:r>
      <w:rPr>
        <w:noProof/>
      </w:rPr>
      <mc:AlternateContent>
        <mc:Choice Requires="wps">
          <w:drawing>
            <wp:anchor distT="0" distB="0" distL="114300" distR="114300" simplePos="0" relativeHeight="251658249" behindDoc="0" locked="1" layoutInCell="1" allowOverlap="1" wp14:anchorId="216CA77B" wp14:editId="6061F086">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D075C" id="Rectangle 18" o:spid="_x0000_s1026" style="position:absolute;margin-left:0;margin-top:0;width:21.25pt;height:96.4pt;z-index:251658249;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8" behindDoc="1" locked="0" layoutInCell="1" allowOverlap="1" wp14:anchorId="28553287" wp14:editId="67802375">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F5B828"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D7Tgbn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39DD251B" wp14:editId="73E5625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7B482E" id="TriangleLeft" o:spid="_x0000_s1026" style="position:absolute;margin-left:22.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Yc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ltIpMqVYhRwtTcnUWopHkTsvUFPbOXDP9ZPxFG39qPlPC0N0ZPEbCwxZNV91Bj9s43QQZZebyp8E&#10;XbIL2r/stRc7Rzg+Xs0mcYwMcZiuscLa38Dm/WG+se6z0MER2z5a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KGU0lMJE1XcSUO2DLOQcS6Um3VKHiFl&#10;SK7S/mR7U/sFndoWTGh73+ntaFjp7AVdb3Q7XPEzwKLQ5jclDQZrSu2vDTOCEvlFYXJdJ5MJuLmw&#10;mUwvR9iYoWU1tDDF4SqljqIu/fLOtdN7U5tyXeCmJORM6U+YNnnpp0KIr42q22B4BqW6Qe+n83Af&#10;UIff0eIP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NW6Bhz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41FA5BCD" wp14:editId="3CA0AA4E">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931BC2" id="Rectangle" o:spid="_x0000_s1026" style="position:absolute;margin-left:22.7pt;margin-top:22.7pt;width:114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DQ16o//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621B7478" w14:textId="77777777" w:rsidR="00673509" w:rsidRPr="00254A01" w:rsidRDefault="00673509"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1AD3" w14:textId="77777777" w:rsidR="00673509" w:rsidRDefault="00673509">
    <w:pPr>
      <w:pStyle w:val="Header"/>
    </w:pPr>
    <w:r>
      <w:rPr>
        <w:noProof/>
      </w:rPr>
      <mc:AlternateContent>
        <mc:Choice Requires="wps">
          <w:drawing>
            <wp:anchor distT="45720" distB="45720" distL="114300" distR="114300" simplePos="0" relativeHeight="251658257" behindDoc="0" locked="0" layoutInCell="1" allowOverlap="1" wp14:anchorId="71F2997A" wp14:editId="46031B5E">
              <wp:simplePos x="0" y="0"/>
              <wp:positionH relativeFrom="column">
                <wp:posOffset>1945640</wp:posOffset>
              </wp:positionH>
              <wp:positionV relativeFrom="paragraph">
                <wp:posOffset>161925</wp:posOffset>
              </wp:positionV>
              <wp:extent cx="4733925" cy="942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42975"/>
                      </a:xfrm>
                      <a:prstGeom prst="rect">
                        <a:avLst/>
                      </a:prstGeom>
                      <a:noFill/>
                      <a:ln w="9525">
                        <a:noFill/>
                        <a:miter lim="800000"/>
                        <a:headEnd/>
                        <a:tailEnd/>
                      </a:ln>
                    </wps:spPr>
                    <wps:txbx>
                      <w:txbxContent>
                        <w:p w14:paraId="0CA6F20E" w14:textId="77777777" w:rsidR="00673509" w:rsidRPr="005D7583" w:rsidRDefault="00673509" w:rsidP="005D7583">
                          <w:pPr>
                            <w:pStyle w:val="Heading1"/>
                            <w:jc w:val="right"/>
                            <w:rPr>
                              <w:color w:val="FFFFFF" w:themeColor="background1"/>
                            </w:rPr>
                          </w:pPr>
                          <w:r w:rsidRPr="005D7583">
                            <w:rPr>
                              <w:color w:val="FFFFFF" w:themeColor="background1"/>
                            </w:rPr>
                            <w:t>Estimating the health cos</w:t>
                          </w:r>
                          <w:r>
                            <w:rPr>
                              <w:color w:val="FFFFFF" w:themeColor="background1"/>
                            </w:rPr>
                            <w:t>ts of air pollution in Victoria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2997A" id="_x0000_t202" coordsize="21600,21600" o:spt="202" path="m,l,21600r21600,l21600,xe">
              <v:stroke joinstyle="miter"/>
              <v:path gradientshapeok="t" o:connecttype="rect"/>
            </v:shapetype>
            <v:shape id="_x0000_s1028" type="#_x0000_t202" style="position:absolute;left:0;text-align:left;margin-left:153.2pt;margin-top:12.75pt;width:372.75pt;height:74.25pt;z-index:251658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" filled="f" stroked="f">
              <v:textbox>
                <w:txbxContent>
                  <w:p w14:paraId="0CA6F20E" w14:textId="77777777" w:rsidR="00673509" w:rsidRPr="005D7583" w:rsidRDefault="00673509" w:rsidP="005D7583">
                    <w:pPr>
                      <w:pStyle w:val="Heading1"/>
                      <w:jc w:val="right"/>
                      <w:rPr>
                        <w:color w:val="FFFFFF" w:themeColor="background1"/>
                      </w:rPr>
                    </w:pPr>
                    <w:r w:rsidRPr="005D7583">
                      <w:rPr>
                        <w:color w:val="FFFFFF" w:themeColor="background1"/>
                      </w:rPr>
                      <w:t>Estimating the health cos</w:t>
                    </w:r>
                    <w:r>
                      <w:rPr>
                        <w:color w:val="FFFFFF" w:themeColor="background1"/>
                      </w:rPr>
                      <w:t>ts of air pollution in Victoria</w:t>
                    </w:r>
                  </w:p>
                </w:txbxContent>
              </v:textbox>
              <w10:wrap type="square"/>
            </v:shape>
          </w:pict>
        </mc:Fallback>
      </mc:AlternateContent>
    </w:r>
    <w:r>
      <w:rPr>
        <w:noProof/>
      </w:rPr>
      <mc:AlternateContent>
        <mc:Choice Requires="wps">
          <w:drawing>
            <wp:anchor distT="0" distB="0" distL="114300" distR="114300" simplePos="0" relativeHeight="251658253" behindDoc="0" locked="1" layoutInCell="1" allowOverlap="1" wp14:anchorId="7AB23C36" wp14:editId="22BCE791">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0A0A5" id="Rectangle 13" o:spid="_x0000_s1026" style="position:absolute;margin-left:0;margin-top:0;width:21.25pt;height:96.4pt;z-index:251658253;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47" behindDoc="1" locked="0" layoutInCell="1" allowOverlap="1" wp14:anchorId="440C7A92" wp14:editId="2DC70529">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9C504"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71DD2BB" wp14:editId="5E2A2BCB">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C1018" id="TriangleLeft" o:spid="_x0000_s1026" style="position:absolute;margin-left:22.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2DEFF1D" wp14:editId="0FEDB263">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A1FD651" id="Rectangle" o:spid="_x0000_s1026" style="position:absolute;margin-left:22.7pt;margin-top:22.7pt;width:114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CTsplv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58252" behindDoc="0" locked="1" layoutInCell="1" allowOverlap="1" wp14:anchorId="2CE131F2" wp14:editId="5645CA4F">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C50F3" id="Rectangle 19" o:spid="_x0000_s1026" style="position:absolute;margin-left:-29.95pt;margin-top:0;width:21.25pt;height:96.4pt;z-index:251658252;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E9BF" w14:textId="77777777" w:rsidR="00673509" w:rsidRPr="00E97294" w:rsidRDefault="00673509" w:rsidP="00225F31">
    <w:pPr>
      <w:pStyle w:val="Header"/>
    </w:pPr>
    <w:r w:rsidRPr="00806AB6">
      <w:rPr>
        <w:noProof/>
      </w:rPr>
      <mc:AlternateContent>
        <mc:Choice Requires="wps">
          <w:drawing>
            <wp:anchor distT="0" distB="0" distL="114300" distR="114300" simplePos="0" relativeHeight="251658242" behindDoc="1" locked="0" layoutInCell="1" allowOverlap="1" wp14:anchorId="4E6F17C8" wp14:editId="16F040C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387504"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19F0F193" wp14:editId="4B70567D">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AC205" id="TriangleBottom" o:spid="_x0000_s1026" style="position:absolute;margin-left:56.7pt;margin-top:93.55pt;width:68.0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xX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" path="m,l669,1415,1339,,,xe" fillcolor="#99e0dd [3206]"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2FB2DB31" wp14:editId="7B8FC23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2D36F5"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51A8288" wp14:editId="750E916A">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83F14B"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L7tfQT/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58256" behindDoc="0" locked="1" layoutInCell="1" allowOverlap="1" wp14:anchorId="4AED92EF" wp14:editId="172AA561">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BB0B" id="Rectangle 17" o:spid="_x0000_s1026" style="position:absolute;margin-left:-29.95pt;margin-top:0;width:21.25pt;height:96.4pt;z-index:251658256;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B2A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1F5F4047"/>
    <w:multiLevelType w:val="hybridMultilevel"/>
    <w:tmpl w:val="72268CA2"/>
    <w:lvl w:ilvl="0" w:tplc="F61AF8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51668"/>
    <w:multiLevelType w:val="hybridMultilevel"/>
    <w:tmpl w:val="C00ABEF4"/>
    <w:lvl w:ilvl="0" w:tplc="D4E870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F21CA5C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0977865"/>
    <w:multiLevelType w:val="hybridMultilevel"/>
    <w:tmpl w:val="4198B89C"/>
    <w:lvl w:ilvl="0" w:tplc="D4E4E2F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46A36F9"/>
    <w:multiLevelType w:val="hybridMultilevel"/>
    <w:tmpl w:val="11FEC030"/>
    <w:lvl w:ilvl="0" w:tplc="9F10D0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9A573E"/>
    <w:multiLevelType w:val="hybridMultilevel"/>
    <w:tmpl w:val="12E2D7BA"/>
    <w:lvl w:ilvl="0" w:tplc="9F10D0B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2A0228"/>
    <w:multiLevelType w:val="hybridMultilevel"/>
    <w:tmpl w:val="89C2639A"/>
    <w:lvl w:ilvl="0" w:tplc="4DE83E0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3"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B2A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5"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7" w15:restartNumberingAfterBreak="0">
    <w:nsid w:val="75DD750D"/>
    <w:multiLevelType w:val="hybridMultilevel"/>
    <w:tmpl w:val="5E28B818"/>
    <w:lvl w:ilvl="0" w:tplc="58CAB85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20"/>
  </w:num>
  <w:num w:numId="2">
    <w:abstractNumId w:val="33"/>
  </w:num>
  <w:num w:numId="3">
    <w:abstractNumId w:val="29"/>
  </w:num>
  <w:num w:numId="4">
    <w:abstractNumId w:val="38"/>
  </w:num>
  <w:num w:numId="5">
    <w:abstractNumId w:val="17"/>
  </w:num>
  <w:num w:numId="6">
    <w:abstractNumId w:val="12"/>
  </w:num>
  <w:num w:numId="7">
    <w:abstractNumId w:val="11"/>
  </w:num>
  <w:num w:numId="8">
    <w:abstractNumId w:val="10"/>
  </w:num>
  <w:num w:numId="9">
    <w:abstractNumId w:val="34"/>
  </w:num>
  <w:num w:numId="10">
    <w:abstractNumId w:val="13"/>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6"/>
    <w:lvlOverride w:ilvl="0">
      <w:startOverride w:val="1"/>
    </w:lvlOverride>
  </w:num>
  <w:num w:numId="29">
    <w:abstractNumId w:val="21"/>
  </w:num>
  <w:num w:numId="30">
    <w:abstractNumId w:val="35"/>
  </w:num>
  <w:num w:numId="31">
    <w:abstractNumId w:val="8"/>
  </w:num>
  <w:num w:numId="32">
    <w:abstractNumId w:val="32"/>
  </w:num>
  <w:num w:numId="33">
    <w:abstractNumId w:val="22"/>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37"/>
  </w:num>
  <w:num w:numId="44">
    <w:abstractNumId w:val="15"/>
  </w:num>
  <w:num w:numId="45">
    <w:abstractNumId w:val="23"/>
  </w:num>
  <w:num w:numId="46">
    <w:abstractNumId w:val="11"/>
  </w:num>
  <w:num w:numId="47">
    <w:abstractNumId w:val="27"/>
  </w:num>
  <w:num w:numId="48">
    <w:abstractNumId w:val="30"/>
  </w:num>
  <w:num w:numId="49">
    <w:abstractNumId w:val="16"/>
  </w:num>
  <w:num w:numId="5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Corporate"/>
    <w:docVar w:name="TOC" w:val="True"/>
    <w:docVar w:name="TOCNew" w:val="True"/>
    <w:docVar w:name="Version" w:val="1"/>
  </w:docVars>
  <w:rsids>
    <w:rsidRoot w:val="00123A88"/>
    <w:rsid w:val="0000017F"/>
    <w:rsid w:val="00000279"/>
    <w:rsid w:val="000004BD"/>
    <w:rsid w:val="00000B7A"/>
    <w:rsid w:val="00000C89"/>
    <w:rsid w:val="00000FEB"/>
    <w:rsid w:val="000012BE"/>
    <w:rsid w:val="00001BD3"/>
    <w:rsid w:val="00001E86"/>
    <w:rsid w:val="00001F76"/>
    <w:rsid w:val="000024EB"/>
    <w:rsid w:val="0000252D"/>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C3"/>
    <w:rsid w:val="000068D4"/>
    <w:rsid w:val="00006A2C"/>
    <w:rsid w:val="00006F08"/>
    <w:rsid w:val="00007429"/>
    <w:rsid w:val="000079BC"/>
    <w:rsid w:val="00010A57"/>
    <w:rsid w:val="00010AAD"/>
    <w:rsid w:val="00010E3F"/>
    <w:rsid w:val="00010FAD"/>
    <w:rsid w:val="0001107C"/>
    <w:rsid w:val="000110A3"/>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9D8"/>
    <w:rsid w:val="00021A33"/>
    <w:rsid w:val="00021CF5"/>
    <w:rsid w:val="0002261E"/>
    <w:rsid w:val="000227DA"/>
    <w:rsid w:val="00022F51"/>
    <w:rsid w:val="000230FD"/>
    <w:rsid w:val="0002325E"/>
    <w:rsid w:val="00023536"/>
    <w:rsid w:val="000236AE"/>
    <w:rsid w:val="00023AFB"/>
    <w:rsid w:val="0002404B"/>
    <w:rsid w:val="000240F0"/>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2EC"/>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8CD"/>
    <w:rsid w:val="00036908"/>
    <w:rsid w:val="00036A70"/>
    <w:rsid w:val="00036FBD"/>
    <w:rsid w:val="00037072"/>
    <w:rsid w:val="00037AE3"/>
    <w:rsid w:val="00037CE2"/>
    <w:rsid w:val="00037F49"/>
    <w:rsid w:val="00037F81"/>
    <w:rsid w:val="00040150"/>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531"/>
    <w:rsid w:val="000507C3"/>
    <w:rsid w:val="00051D87"/>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BDF"/>
    <w:rsid w:val="00060EE0"/>
    <w:rsid w:val="00060FD9"/>
    <w:rsid w:val="00061573"/>
    <w:rsid w:val="00061744"/>
    <w:rsid w:val="000617D7"/>
    <w:rsid w:val="00061D3A"/>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67DAC"/>
    <w:rsid w:val="000700DA"/>
    <w:rsid w:val="000704F3"/>
    <w:rsid w:val="00070C97"/>
    <w:rsid w:val="0007112E"/>
    <w:rsid w:val="00071B67"/>
    <w:rsid w:val="00071CA4"/>
    <w:rsid w:val="00071DE2"/>
    <w:rsid w:val="00072074"/>
    <w:rsid w:val="00072288"/>
    <w:rsid w:val="00072733"/>
    <w:rsid w:val="00072783"/>
    <w:rsid w:val="00072E02"/>
    <w:rsid w:val="0007349D"/>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796"/>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875BD"/>
    <w:rsid w:val="000908D6"/>
    <w:rsid w:val="00090A51"/>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174"/>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4A"/>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5BD"/>
    <w:rsid w:val="000B46C3"/>
    <w:rsid w:val="000B4CFC"/>
    <w:rsid w:val="000B5144"/>
    <w:rsid w:val="000B5240"/>
    <w:rsid w:val="000B547C"/>
    <w:rsid w:val="000B5504"/>
    <w:rsid w:val="000B561E"/>
    <w:rsid w:val="000B5EA3"/>
    <w:rsid w:val="000B6195"/>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1E3"/>
    <w:rsid w:val="000C55BE"/>
    <w:rsid w:val="000C57F2"/>
    <w:rsid w:val="000C59E2"/>
    <w:rsid w:val="000C6231"/>
    <w:rsid w:val="000C707C"/>
    <w:rsid w:val="000C7611"/>
    <w:rsid w:val="000C7B22"/>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409"/>
    <w:rsid w:val="000D464F"/>
    <w:rsid w:val="000D4A15"/>
    <w:rsid w:val="000D4EC1"/>
    <w:rsid w:val="000D5BA4"/>
    <w:rsid w:val="000D6DC7"/>
    <w:rsid w:val="000D6E16"/>
    <w:rsid w:val="000D703A"/>
    <w:rsid w:val="000D7202"/>
    <w:rsid w:val="000D7482"/>
    <w:rsid w:val="000D76D9"/>
    <w:rsid w:val="000D7891"/>
    <w:rsid w:val="000D7E1F"/>
    <w:rsid w:val="000E01C1"/>
    <w:rsid w:val="000E01D0"/>
    <w:rsid w:val="000E1779"/>
    <w:rsid w:val="000E1BEC"/>
    <w:rsid w:val="000E1F1D"/>
    <w:rsid w:val="000E21E5"/>
    <w:rsid w:val="000E2207"/>
    <w:rsid w:val="000E2402"/>
    <w:rsid w:val="000E24E1"/>
    <w:rsid w:val="000E2520"/>
    <w:rsid w:val="000E25A9"/>
    <w:rsid w:val="000E27B6"/>
    <w:rsid w:val="000E2CE7"/>
    <w:rsid w:val="000E33C8"/>
    <w:rsid w:val="000E35C7"/>
    <w:rsid w:val="000E3AF5"/>
    <w:rsid w:val="000E3B96"/>
    <w:rsid w:val="000E407E"/>
    <w:rsid w:val="000E4B54"/>
    <w:rsid w:val="000E53BD"/>
    <w:rsid w:val="000E55A2"/>
    <w:rsid w:val="000E5F4E"/>
    <w:rsid w:val="000E6684"/>
    <w:rsid w:val="000E6777"/>
    <w:rsid w:val="000E6A00"/>
    <w:rsid w:val="000E7410"/>
    <w:rsid w:val="000E7936"/>
    <w:rsid w:val="000E7B34"/>
    <w:rsid w:val="000F03BC"/>
    <w:rsid w:val="000F07D7"/>
    <w:rsid w:val="000F0A47"/>
    <w:rsid w:val="000F0D60"/>
    <w:rsid w:val="000F13C5"/>
    <w:rsid w:val="000F147D"/>
    <w:rsid w:val="000F1A3A"/>
    <w:rsid w:val="000F1A53"/>
    <w:rsid w:val="000F1A5A"/>
    <w:rsid w:val="000F1D45"/>
    <w:rsid w:val="000F1FA4"/>
    <w:rsid w:val="000F2014"/>
    <w:rsid w:val="000F2194"/>
    <w:rsid w:val="000F22DD"/>
    <w:rsid w:val="000F24B2"/>
    <w:rsid w:val="000F306B"/>
    <w:rsid w:val="000F31D9"/>
    <w:rsid w:val="000F376E"/>
    <w:rsid w:val="000F3FC7"/>
    <w:rsid w:val="000F4A13"/>
    <w:rsid w:val="000F4B90"/>
    <w:rsid w:val="000F4CD5"/>
    <w:rsid w:val="000F5080"/>
    <w:rsid w:val="000F5216"/>
    <w:rsid w:val="000F5604"/>
    <w:rsid w:val="000F567F"/>
    <w:rsid w:val="000F5A78"/>
    <w:rsid w:val="000F5E34"/>
    <w:rsid w:val="000F5E5F"/>
    <w:rsid w:val="000F5E8C"/>
    <w:rsid w:val="000F6801"/>
    <w:rsid w:val="000F6803"/>
    <w:rsid w:val="000F6D60"/>
    <w:rsid w:val="000F6D6B"/>
    <w:rsid w:val="000F7657"/>
    <w:rsid w:val="000F793E"/>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1A8"/>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201"/>
    <w:rsid w:val="00122355"/>
    <w:rsid w:val="00122358"/>
    <w:rsid w:val="001226AD"/>
    <w:rsid w:val="00122A3C"/>
    <w:rsid w:val="00122AE8"/>
    <w:rsid w:val="00122C72"/>
    <w:rsid w:val="001230A5"/>
    <w:rsid w:val="00123733"/>
    <w:rsid w:val="00123A88"/>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6F0"/>
    <w:rsid w:val="00127F2F"/>
    <w:rsid w:val="001300CB"/>
    <w:rsid w:val="001306D2"/>
    <w:rsid w:val="00130A8D"/>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A4D"/>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2F65"/>
    <w:rsid w:val="00143185"/>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A50"/>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6F6"/>
    <w:rsid w:val="00152DA7"/>
    <w:rsid w:val="00152F06"/>
    <w:rsid w:val="00153334"/>
    <w:rsid w:val="0015375B"/>
    <w:rsid w:val="0015388E"/>
    <w:rsid w:val="00153DB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3D7"/>
    <w:rsid w:val="00163536"/>
    <w:rsid w:val="00163E14"/>
    <w:rsid w:val="00164055"/>
    <w:rsid w:val="00164B4C"/>
    <w:rsid w:val="00164D40"/>
    <w:rsid w:val="0016502A"/>
    <w:rsid w:val="0016509E"/>
    <w:rsid w:val="00165678"/>
    <w:rsid w:val="00165754"/>
    <w:rsid w:val="0016579F"/>
    <w:rsid w:val="001658FA"/>
    <w:rsid w:val="00165D74"/>
    <w:rsid w:val="001664DC"/>
    <w:rsid w:val="001664FC"/>
    <w:rsid w:val="00166B17"/>
    <w:rsid w:val="00166FEF"/>
    <w:rsid w:val="00167413"/>
    <w:rsid w:val="001676F4"/>
    <w:rsid w:val="00167865"/>
    <w:rsid w:val="00170713"/>
    <w:rsid w:val="00170F85"/>
    <w:rsid w:val="001715D8"/>
    <w:rsid w:val="00171FD1"/>
    <w:rsid w:val="00172031"/>
    <w:rsid w:val="00172DA4"/>
    <w:rsid w:val="001731A6"/>
    <w:rsid w:val="00173395"/>
    <w:rsid w:val="00173F6E"/>
    <w:rsid w:val="001748A0"/>
    <w:rsid w:val="001756B6"/>
    <w:rsid w:val="0017570D"/>
    <w:rsid w:val="00175826"/>
    <w:rsid w:val="0017593D"/>
    <w:rsid w:val="00175B81"/>
    <w:rsid w:val="00175C26"/>
    <w:rsid w:val="00175E2D"/>
    <w:rsid w:val="00176238"/>
    <w:rsid w:val="00176368"/>
    <w:rsid w:val="00176369"/>
    <w:rsid w:val="00176A24"/>
    <w:rsid w:val="00176DBD"/>
    <w:rsid w:val="00176DF9"/>
    <w:rsid w:val="0017720A"/>
    <w:rsid w:val="00177415"/>
    <w:rsid w:val="00177AC3"/>
    <w:rsid w:val="00177B82"/>
    <w:rsid w:val="00180234"/>
    <w:rsid w:val="001811ED"/>
    <w:rsid w:val="0018138B"/>
    <w:rsid w:val="00181435"/>
    <w:rsid w:val="0018157F"/>
    <w:rsid w:val="00182759"/>
    <w:rsid w:val="0018296A"/>
    <w:rsid w:val="00182986"/>
    <w:rsid w:val="00183265"/>
    <w:rsid w:val="00183DC3"/>
    <w:rsid w:val="00183F0D"/>
    <w:rsid w:val="0018400C"/>
    <w:rsid w:val="00184D8A"/>
    <w:rsid w:val="00184FE9"/>
    <w:rsid w:val="00185004"/>
    <w:rsid w:val="001856A2"/>
    <w:rsid w:val="0018593D"/>
    <w:rsid w:val="00185CD9"/>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4CF"/>
    <w:rsid w:val="00197717"/>
    <w:rsid w:val="001977C0"/>
    <w:rsid w:val="00197F7F"/>
    <w:rsid w:val="001A0827"/>
    <w:rsid w:val="001A0EF8"/>
    <w:rsid w:val="001A13E9"/>
    <w:rsid w:val="001A150E"/>
    <w:rsid w:val="001A18D2"/>
    <w:rsid w:val="001A1B69"/>
    <w:rsid w:val="001A245B"/>
    <w:rsid w:val="001A25AC"/>
    <w:rsid w:val="001A37A6"/>
    <w:rsid w:val="001A3E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080"/>
    <w:rsid w:val="001B3628"/>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9FE"/>
    <w:rsid w:val="001C1B48"/>
    <w:rsid w:val="001C1C28"/>
    <w:rsid w:val="001C2125"/>
    <w:rsid w:val="001C21A0"/>
    <w:rsid w:val="001C2301"/>
    <w:rsid w:val="001C24BB"/>
    <w:rsid w:val="001C27F4"/>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C7E0F"/>
    <w:rsid w:val="001D0F4D"/>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F7C"/>
    <w:rsid w:val="001E0190"/>
    <w:rsid w:val="001E0734"/>
    <w:rsid w:val="001E0ACF"/>
    <w:rsid w:val="001E0ADE"/>
    <w:rsid w:val="001E1098"/>
    <w:rsid w:val="001E1E96"/>
    <w:rsid w:val="001E24D4"/>
    <w:rsid w:val="001E25C4"/>
    <w:rsid w:val="001E2E6F"/>
    <w:rsid w:val="001E3511"/>
    <w:rsid w:val="001E3642"/>
    <w:rsid w:val="001E38C8"/>
    <w:rsid w:val="001E3DBD"/>
    <w:rsid w:val="001E3E14"/>
    <w:rsid w:val="001E4751"/>
    <w:rsid w:val="001E4938"/>
    <w:rsid w:val="001E4CD8"/>
    <w:rsid w:val="001E4FB6"/>
    <w:rsid w:val="001E53A9"/>
    <w:rsid w:val="001E55D5"/>
    <w:rsid w:val="001E55FF"/>
    <w:rsid w:val="001E589C"/>
    <w:rsid w:val="001E5992"/>
    <w:rsid w:val="001E6234"/>
    <w:rsid w:val="001E6920"/>
    <w:rsid w:val="001E693A"/>
    <w:rsid w:val="001E6EC8"/>
    <w:rsid w:val="001E74C1"/>
    <w:rsid w:val="001E7905"/>
    <w:rsid w:val="001E7D67"/>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CFA"/>
    <w:rsid w:val="001F4FA9"/>
    <w:rsid w:val="001F548A"/>
    <w:rsid w:val="001F579C"/>
    <w:rsid w:val="001F58E7"/>
    <w:rsid w:val="001F5C40"/>
    <w:rsid w:val="001F5D92"/>
    <w:rsid w:val="001F5F13"/>
    <w:rsid w:val="001F668A"/>
    <w:rsid w:val="001F6AB6"/>
    <w:rsid w:val="001F6D64"/>
    <w:rsid w:val="001F765B"/>
    <w:rsid w:val="001F770A"/>
    <w:rsid w:val="00200347"/>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746"/>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294"/>
    <w:rsid w:val="00212DA6"/>
    <w:rsid w:val="00213289"/>
    <w:rsid w:val="002139D9"/>
    <w:rsid w:val="00213B45"/>
    <w:rsid w:val="00213C82"/>
    <w:rsid w:val="002147CA"/>
    <w:rsid w:val="002154DF"/>
    <w:rsid w:val="002158A2"/>
    <w:rsid w:val="00215AEB"/>
    <w:rsid w:val="00215CE4"/>
    <w:rsid w:val="00215E20"/>
    <w:rsid w:val="0021610D"/>
    <w:rsid w:val="0021622F"/>
    <w:rsid w:val="002165C1"/>
    <w:rsid w:val="00216896"/>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611"/>
    <w:rsid w:val="00223B9B"/>
    <w:rsid w:val="00223E41"/>
    <w:rsid w:val="00223EC7"/>
    <w:rsid w:val="002240AD"/>
    <w:rsid w:val="002241F7"/>
    <w:rsid w:val="00224234"/>
    <w:rsid w:val="002242F0"/>
    <w:rsid w:val="0022452B"/>
    <w:rsid w:val="00224EDC"/>
    <w:rsid w:val="00224F1D"/>
    <w:rsid w:val="00225CB2"/>
    <w:rsid w:val="00225F31"/>
    <w:rsid w:val="002262A7"/>
    <w:rsid w:val="00227853"/>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87"/>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576"/>
    <w:rsid w:val="0025560C"/>
    <w:rsid w:val="00255D7F"/>
    <w:rsid w:val="00255DD3"/>
    <w:rsid w:val="00256057"/>
    <w:rsid w:val="002560F7"/>
    <w:rsid w:val="002568FE"/>
    <w:rsid w:val="0025775A"/>
    <w:rsid w:val="002578D4"/>
    <w:rsid w:val="002579C1"/>
    <w:rsid w:val="002604DA"/>
    <w:rsid w:val="00260781"/>
    <w:rsid w:val="00260992"/>
    <w:rsid w:val="00260A32"/>
    <w:rsid w:val="00260A76"/>
    <w:rsid w:val="00260FC1"/>
    <w:rsid w:val="002611D2"/>
    <w:rsid w:val="002614DA"/>
    <w:rsid w:val="00261873"/>
    <w:rsid w:val="00261BDD"/>
    <w:rsid w:val="00261C51"/>
    <w:rsid w:val="00261DCD"/>
    <w:rsid w:val="002627C5"/>
    <w:rsid w:val="0026285F"/>
    <w:rsid w:val="00262E05"/>
    <w:rsid w:val="00262E69"/>
    <w:rsid w:val="0026369F"/>
    <w:rsid w:val="002636AB"/>
    <w:rsid w:val="0026373B"/>
    <w:rsid w:val="00263BE7"/>
    <w:rsid w:val="00263F25"/>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5EF3"/>
    <w:rsid w:val="002760B0"/>
    <w:rsid w:val="00276306"/>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90E"/>
    <w:rsid w:val="00284B07"/>
    <w:rsid w:val="00285A5B"/>
    <w:rsid w:val="00285C44"/>
    <w:rsid w:val="00285E6C"/>
    <w:rsid w:val="00285F04"/>
    <w:rsid w:val="00285FA3"/>
    <w:rsid w:val="00286C19"/>
    <w:rsid w:val="00287075"/>
    <w:rsid w:val="00287146"/>
    <w:rsid w:val="00287609"/>
    <w:rsid w:val="002878A6"/>
    <w:rsid w:val="00287CAD"/>
    <w:rsid w:val="00287D08"/>
    <w:rsid w:val="00290136"/>
    <w:rsid w:val="0029046B"/>
    <w:rsid w:val="002905D9"/>
    <w:rsid w:val="00290935"/>
    <w:rsid w:val="002913D6"/>
    <w:rsid w:val="00291BB4"/>
    <w:rsid w:val="00291C2C"/>
    <w:rsid w:val="002925DE"/>
    <w:rsid w:val="00292C66"/>
    <w:rsid w:val="0029318B"/>
    <w:rsid w:val="00293463"/>
    <w:rsid w:val="00293680"/>
    <w:rsid w:val="002940DF"/>
    <w:rsid w:val="002942A8"/>
    <w:rsid w:val="0029457A"/>
    <w:rsid w:val="00294BC0"/>
    <w:rsid w:val="00294C41"/>
    <w:rsid w:val="0029505A"/>
    <w:rsid w:val="002958B8"/>
    <w:rsid w:val="00295F12"/>
    <w:rsid w:val="002963B7"/>
    <w:rsid w:val="00296613"/>
    <w:rsid w:val="002968A3"/>
    <w:rsid w:val="002972FC"/>
    <w:rsid w:val="00297462"/>
    <w:rsid w:val="00297CA9"/>
    <w:rsid w:val="00297EC6"/>
    <w:rsid w:val="002A0AED"/>
    <w:rsid w:val="002A13AD"/>
    <w:rsid w:val="002A1CE5"/>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5A"/>
    <w:rsid w:val="002A6CDD"/>
    <w:rsid w:val="002A6FC7"/>
    <w:rsid w:val="002A7101"/>
    <w:rsid w:val="002A7217"/>
    <w:rsid w:val="002A783B"/>
    <w:rsid w:val="002A7AC5"/>
    <w:rsid w:val="002A7DF3"/>
    <w:rsid w:val="002B00B5"/>
    <w:rsid w:val="002B0CFA"/>
    <w:rsid w:val="002B130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424"/>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743"/>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8EE"/>
    <w:rsid w:val="002C4FEB"/>
    <w:rsid w:val="002C5235"/>
    <w:rsid w:val="002C536C"/>
    <w:rsid w:val="002C555C"/>
    <w:rsid w:val="002C5995"/>
    <w:rsid w:val="002C5DB1"/>
    <w:rsid w:val="002C5F6C"/>
    <w:rsid w:val="002C6693"/>
    <w:rsid w:val="002C729B"/>
    <w:rsid w:val="002C73EA"/>
    <w:rsid w:val="002C7AD4"/>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58C"/>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7FB"/>
    <w:rsid w:val="002E0CBB"/>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47D"/>
    <w:rsid w:val="002E479B"/>
    <w:rsid w:val="002E4943"/>
    <w:rsid w:val="002E49BC"/>
    <w:rsid w:val="002E49CB"/>
    <w:rsid w:val="002E4E56"/>
    <w:rsid w:val="002E52CC"/>
    <w:rsid w:val="002E5808"/>
    <w:rsid w:val="002E584F"/>
    <w:rsid w:val="002E58C5"/>
    <w:rsid w:val="002E5B9E"/>
    <w:rsid w:val="002E5F6E"/>
    <w:rsid w:val="002E6B7A"/>
    <w:rsid w:val="002E6DC0"/>
    <w:rsid w:val="002E7001"/>
    <w:rsid w:val="002E70A0"/>
    <w:rsid w:val="002E7991"/>
    <w:rsid w:val="002E7A32"/>
    <w:rsid w:val="002E7EE9"/>
    <w:rsid w:val="002F0A6E"/>
    <w:rsid w:val="002F0BF5"/>
    <w:rsid w:val="002F1D03"/>
    <w:rsid w:val="002F1ECC"/>
    <w:rsid w:val="002F25E9"/>
    <w:rsid w:val="002F270F"/>
    <w:rsid w:val="002F2F53"/>
    <w:rsid w:val="002F3E23"/>
    <w:rsid w:val="002F4165"/>
    <w:rsid w:val="002F44C2"/>
    <w:rsid w:val="002F4916"/>
    <w:rsid w:val="002F4B98"/>
    <w:rsid w:val="002F4FB6"/>
    <w:rsid w:val="002F5038"/>
    <w:rsid w:val="002F57C5"/>
    <w:rsid w:val="002F57C9"/>
    <w:rsid w:val="002F59D8"/>
    <w:rsid w:val="002F5CA3"/>
    <w:rsid w:val="002F5DE3"/>
    <w:rsid w:val="002F6632"/>
    <w:rsid w:val="002F6A05"/>
    <w:rsid w:val="002F6C20"/>
    <w:rsid w:val="002F6C77"/>
    <w:rsid w:val="002F7080"/>
    <w:rsid w:val="002F71D3"/>
    <w:rsid w:val="002F7537"/>
    <w:rsid w:val="002F76E9"/>
    <w:rsid w:val="002F7E42"/>
    <w:rsid w:val="002F7F6A"/>
    <w:rsid w:val="00300224"/>
    <w:rsid w:val="003002D2"/>
    <w:rsid w:val="003003E2"/>
    <w:rsid w:val="00300640"/>
    <w:rsid w:val="0030071E"/>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34A"/>
    <w:rsid w:val="003123B4"/>
    <w:rsid w:val="00312916"/>
    <w:rsid w:val="00312F21"/>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29B"/>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692"/>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67D"/>
    <w:rsid w:val="00353707"/>
    <w:rsid w:val="0035412D"/>
    <w:rsid w:val="00354368"/>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313"/>
    <w:rsid w:val="00363532"/>
    <w:rsid w:val="00363763"/>
    <w:rsid w:val="00363BBC"/>
    <w:rsid w:val="00364154"/>
    <w:rsid w:val="00364803"/>
    <w:rsid w:val="003649FB"/>
    <w:rsid w:val="00364CA5"/>
    <w:rsid w:val="00366470"/>
    <w:rsid w:val="003664CB"/>
    <w:rsid w:val="003669E5"/>
    <w:rsid w:val="00367673"/>
    <w:rsid w:val="00370617"/>
    <w:rsid w:val="00370901"/>
    <w:rsid w:val="003709D8"/>
    <w:rsid w:val="00370C98"/>
    <w:rsid w:val="00370D02"/>
    <w:rsid w:val="00371C1B"/>
    <w:rsid w:val="00371D63"/>
    <w:rsid w:val="003728DE"/>
    <w:rsid w:val="00373317"/>
    <w:rsid w:val="0037344B"/>
    <w:rsid w:val="0037377A"/>
    <w:rsid w:val="00373994"/>
    <w:rsid w:val="00373A4D"/>
    <w:rsid w:val="00373D12"/>
    <w:rsid w:val="00374140"/>
    <w:rsid w:val="00374298"/>
    <w:rsid w:val="00374D9E"/>
    <w:rsid w:val="0037511C"/>
    <w:rsid w:val="003751ED"/>
    <w:rsid w:val="003752C3"/>
    <w:rsid w:val="003752DA"/>
    <w:rsid w:val="003752E2"/>
    <w:rsid w:val="0037615F"/>
    <w:rsid w:val="003765AD"/>
    <w:rsid w:val="00376928"/>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75B"/>
    <w:rsid w:val="00391E78"/>
    <w:rsid w:val="00391F27"/>
    <w:rsid w:val="003920B2"/>
    <w:rsid w:val="00392E40"/>
    <w:rsid w:val="0039318E"/>
    <w:rsid w:val="00393205"/>
    <w:rsid w:val="003936CD"/>
    <w:rsid w:val="003938BA"/>
    <w:rsid w:val="0039396D"/>
    <w:rsid w:val="00393EA9"/>
    <w:rsid w:val="00393F5F"/>
    <w:rsid w:val="00394109"/>
    <w:rsid w:val="003947B8"/>
    <w:rsid w:val="00395181"/>
    <w:rsid w:val="00395314"/>
    <w:rsid w:val="003960AD"/>
    <w:rsid w:val="003963F7"/>
    <w:rsid w:val="00396473"/>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736"/>
    <w:rsid w:val="003A7910"/>
    <w:rsid w:val="003A79F1"/>
    <w:rsid w:val="003A7D28"/>
    <w:rsid w:val="003A7D9F"/>
    <w:rsid w:val="003B0031"/>
    <w:rsid w:val="003B0339"/>
    <w:rsid w:val="003B0406"/>
    <w:rsid w:val="003B061E"/>
    <w:rsid w:val="003B06BF"/>
    <w:rsid w:val="003B0724"/>
    <w:rsid w:val="003B12B7"/>
    <w:rsid w:val="003B13E4"/>
    <w:rsid w:val="003B148C"/>
    <w:rsid w:val="003B1774"/>
    <w:rsid w:val="003B196D"/>
    <w:rsid w:val="003B2E3A"/>
    <w:rsid w:val="003B32F7"/>
    <w:rsid w:val="003B3E59"/>
    <w:rsid w:val="003B3E65"/>
    <w:rsid w:val="003B4022"/>
    <w:rsid w:val="003B430A"/>
    <w:rsid w:val="003B4465"/>
    <w:rsid w:val="003B47B2"/>
    <w:rsid w:val="003B482F"/>
    <w:rsid w:val="003B4915"/>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241"/>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7F3"/>
    <w:rsid w:val="003D3F0D"/>
    <w:rsid w:val="003D4055"/>
    <w:rsid w:val="003D4483"/>
    <w:rsid w:val="003D4C15"/>
    <w:rsid w:val="003D4DC8"/>
    <w:rsid w:val="003D5036"/>
    <w:rsid w:val="003D545B"/>
    <w:rsid w:val="003D5476"/>
    <w:rsid w:val="003D5A45"/>
    <w:rsid w:val="003D5EA3"/>
    <w:rsid w:val="003D6113"/>
    <w:rsid w:val="003D6245"/>
    <w:rsid w:val="003D6A16"/>
    <w:rsid w:val="003D6AA6"/>
    <w:rsid w:val="003D75A3"/>
    <w:rsid w:val="003D7644"/>
    <w:rsid w:val="003D76D7"/>
    <w:rsid w:val="003D7B8C"/>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B8E"/>
    <w:rsid w:val="003F0C86"/>
    <w:rsid w:val="003F1131"/>
    <w:rsid w:val="003F13AC"/>
    <w:rsid w:val="003F1523"/>
    <w:rsid w:val="003F1607"/>
    <w:rsid w:val="003F168A"/>
    <w:rsid w:val="003F183B"/>
    <w:rsid w:val="003F1886"/>
    <w:rsid w:val="003F19DB"/>
    <w:rsid w:val="003F1A89"/>
    <w:rsid w:val="003F2934"/>
    <w:rsid w:val="003F2D3A"/>
    <w:rsid w:val="003F2DF9"/>
    <w:rsid w:val="003F2ECC"/>
    <w:rsid w:val="003F2EDD"/>
    <w:rsid w:val="003F34BF"/>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3BF"/>
    <w:rsid w:val="003F6842"/>
    <w:rsid w:val="003F6B4D"/>
    <w:rsid w:val="003F6E4F"/>
    <w:rsid w:val="003F75FE"/>
    <w:rsid w:val="003F7759"/>
    <w:rsid w:val="003F7913"/>
    <w:rsid w:val="003F7B68"/>
    <w:rsid w:val="003F7E66"/>
    <w:rsid w:val="0040016A"/>
    <w:rsid w:val="004002A8"/>
    <w:rsid w:val="00400760"/>
    <w:rsid w:val="00400A90"/>
    <w:rsid w:val="0040102D"/>
    <w:rsid w:val="004010B3"/>
    <w:rsid w:val="00401465"/>
    <w:rsid w:val="00401703"/>
    <w:rsid w:val="00401920"/>
    <w:rsid w:val="00401E9C"/>
    <w:rsid w:val="00402188"/>
    <w:rsid w:val="0040281F"/>
    <w:rsid w:val="00402AAA"/>
    <w:rsid w:val="00402F90"/>
    <w:rsid w:val="004030E9"/>
    <w:rsid w:val="00403185"/>
    <w:rsid w:val="00404F28"/>
    <w:rsid w:val="00404F44"/>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3B8"/>
    <w:rsid w:val="0041287F"/>
    <w:rsid w:val="00412DE8"/>
    <w:rsid w:val="00413316"/>
    <w:rsid w:val="004133CE"/>
    <w:rsid w:val="004134DF"/>
    <w:rsid w:val="0041360B"/>
    <w:rsid w:val="0041364C"/>
    <w:rsid w:val="004143E5"/>
    <w:rsid w:val="0041469A"/>
    <w:rsid w:val="0041497A"/>
    <w:rsid w:val="00415A17"/>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5F7"/>
    <w:rsid w:val="00423925"/>
    <w:rsid w:val="00423F52"/>
    <w:rsid w:val="00423FEB"/>
    <w:rsid w:val="00424A25"/>
    <w:rsid w:val="004250A5"/>
    <w:rsid w:val="00425B68"/>
    <w:rsid w:val="00425CF9"/>
    <w:rsid w:val="00425FF4"/>
    <w:rsid w:val="0042629F"/>
    <w:rsid w:val="0042677A"/>
    <w:rsid w:val="00426930"/>
    <w:rsid w:val="004269D5"/>
    <w:rsid w:val="0042706D"/>
    <w:rsid w:val="004270FD"/>
    <w:rsid w:val="004271D5"/>
    <w:rsid w:val="00427261"/>
    <w:rsid w:val="004272B9"/>
    <w:rsid w:val="004273F5"/>
    <w:rsid w:val="004277BC"/>
    <w:rsid w:val="00427915"/>
    <w:rsid w:val="004308E9"/>
    <w:rsid w:val="00430AF9"/>
    <w:rsid w:val="00431066"/>
    <w:rsid w:val="004311CB"/>
    <w:rsid w:val="004311F9"/>
    <w:rsid w:val="004313EF"/>
    <w:rsid w:val="00431441"/>
    <w:rsid w:val="00431E91"/>
    <w:rsid w:val="00431F16"/>
    <w:rsid w:val="00432296"/>
    <w:rsid w:val="0043383B"/>
    <w:rsid w:val="0043384A"/>
    <w:rsid w:val="004339B7"/>
    <w:rsid w:val="00433C3F"/>
    <w:rsid w:val="00433CB8"/>
    <w:rsid w:val="00433EF9"/>
    <w:rsid w:val="00433F44"/>
    <w:rsid w:val="00433F6B"/>
    <w:rsid w:val="0043497B"/>
    <w:rsid w:val="00434B0F"/>
    <w:rsid w:val="00434B87"/>
    <w:rsid w:val="00434F85"/>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8BA"/>
    <w:rsid w:val="0045510B"/>
    <w:rsid w:val="00455385"/>
    <w:rsid w:val="004556CC"/>
    <w:rsid w:val="0045598B"/>
    <w:rsid w:val="00455BCE"/>
    <w:rsid w:val="00455D78"/>
    <w:rsid w:val="004561E6"/>
    <w:rsid w:val="0045626E"/>
    <w:rsid w:val="0045701C"/>
    <w:rsid w:val="0045714E"/>
    <w:rsid w:val="0045724E"/>
    <w:rsid w:val="004575A6"/>
    <w:rsid w:val="004576B7"/>
    <w:rsid w:val="004578A8"/>
    <w:rsid w:val="00457E4C"/>
    <w:rsid w:val="004602EE"/>
    <w:rsid w:val="004606CB"/>
    <w:rsid w:val="00460E31"/>
    <w:rsid w:val="0046109E"/>
    <w:rsid w:val="004610CD"/>
    <w:rsid w:val="00461293"/>
    <w:rsid w:val="004613ED"/>
    <w:rsid w:val="004614C6"/>
    <w:rsid w:val="004615D2"/>
    <w:rsid w:val="004621F0"/>
    <w:rsid w:val="004623BF"/>
    <w:rsid w:val="004627AB"/>
    <w:rsid w:val="0046283F"/>
    <w:rsid w:val="00462F2F"/>
    <w:rsid w:val="004631BC"/>
    <w:rsid w:val="0046328D"/>
    <w:rsid w:val="004634CE"/>
    <w:rsid w:val="004635A7"/>
    <w:rsid w:val="00463645"/>
    <w:rsid w:val="00463BC7"/>
    <w:rsid w:val="00463E97"/>
    <w:rsid w:val="004649D9"/>
    <w:rsid w:val="00464C6E"/>
    <w:rsid w:val="00464D36"/>
    <w:rsid w:val="00464F86"/>
    <w:rsid w:val="0046503A"/>
    <w:rsid w:val="004652D7"/>
    <w:rsid w:val="00465713"/>
    <w:rsid w:val="004659BD"/>
    <w:rsid w:val="00465F2A"/>
    <w:rsid w:val="00466154"/>
    <w:rsid w:val="00466276"/>
    <w:rsid w:val="0046684C"/>
    <w:rsid w:val="004668C7"/>
    <w:rsid w:val="00466A37"/>
    <w:rsid w:val="00466E27"/>
    <w:rsid w:val="004674B9"/>
    <w:rsid w:val="00467962"/>
    <w:rsid w:val="00467BF9"/>
    <w:rsid w:val="00467FA5"/>
    <w:rsid w:val="00470890"/>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BB0"/>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8E1"/>
    <w:rsid w:val="00485533"/>
    <w:rsid w:val="0048558F"/>
    <w:rsid w:val="00485759"/>
    <w:rsid w:val="0048597C"/>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1CAE"/>
    <w:rsid w:val="004922A5"/>
    <w:rsid w:val="004925EC"/>
    <w:rsid w:val="0049261C"/>
    <w:rsid w:val="00492C0D"/>
    <w:rsid w:val="00492CD9"/>
    <w:rsid w:val="004939F6"/>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819"/>
    <w:rsid w:val="004B4B80"/>
    <w:rsid w:val="004B55DC"/>
    <w:rsid w:val="004B6B4D"/>
    <w:rsid w:val="004B7FA5"/>
    <w:rsid w:val="004C0479"/>
    <w:rsid w:val="004C0A38"/>
    <w:rsid w:val="004C1076"/>
    <w:rsid w:val="004C112B"/>
    <w:rsid w:val="004C12BA"/>
    <w:rsid w:val="004C1649"/>
    <w:rsid w:val="004C1A1C"/>
    <w:rsid w:val="004C1AD1"/>
    <w:rsid w:val="004C1DBC"/>
    <w:rsid w:val="004C267E"/>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883"/>
    <w:rsid w:val="004C7F52"/>
    <w:rsid w:val="004D0374"/>
    <w:rsid w:val="004D03AF"/>
    <w:rsid w:val="004D078E"/>
    <w:rsid w:val="004D082D"/>
    <w:rsid w:val="004D09B3"/>
    <w:rsid w:val="004D0BB5"/>
    <w:rsid w:val="004D0ED6"/>
    <w:rsid w:val="004D1061"/>
    <w:rsid w:val="004D2591"/>
    <w:rsid w:val="004D2824"/>
    <w:rsid w:val="004D2B7A"/>
    <w:rsid w:val="004D2D73"/>
    <w:rsid w:val="004D2F0B"/>
    <w:rsid w:val="004D36AE"/>
    <w:rsid w:val="004D4063"/>
    <w:rsid w:val="004D4140"/>
    <w:rsid w:val="004D4BC4"/>
    <w:rsid w:val="004D514B"/>
    <w:rsid w:val="004D5271"/>
    <w:rsid w:val="004D528E"/>
    <w:rsid w:val="004D55FF"/>
    <w:rsid w:val="004D5A45"/>
    <w:rsid w:val="004D5B4D"/>
    <w:rsid w:val="004D5BFF"/>
    <w:rsid w:val="004D6506"/>
    <w:rsid w:val="004D66D1"/>
    <w:rsid w:val="004D68F5"/>
    <w:rsid w:val="004D6C28"/>
    <w:rsid w:val="004D6FAF"/>
    <w:rsid w:val="004D70A6"/>
    <w:rsid w:val="004D7975"/>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77A"/>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A3C"/>
    <w:rsid w:val="004F3D42"/>
    <w:rsid w:val="004F43A1"/>
    <w:rsid w:val="004F4575"/>
    <w:rsid w:val="004F4995"/>
    <w:rsid w:val="004F5160"/>
    <w:rsid w:val="004F5241"/>
    <w:rsid w:val="004F5553"/>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1D1F"/>
    <w:rsid w:val="0050225A"/>
    <w:rsid w:val="00502D66"/>
    <w:rsid w:val="00502D81"/>
    <w:rsid w:val="00502D90"/>
    <w:rsid w:val="00502E1D"/>
    <w:rsid w:val="00502F97"/>
    <w:rsid w:val="00503352"/>
    <w:rsid w:val="005033D8"/>
    <w:rsid w:val="00503662"/>
    <w:rsid w:val="00503CF7"/>
    <w:rsid w:val="00503F00"/>
    <w:rsid w:val="005042D3"/>
    <w:rsid w:val="00505460"/>
    <w:rsid w:val="00505CE1"/>
    <w:rsid w:val="00505CEC"/>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1B8"/>
    <w:rsid w:val="00512229"/>
    <w:rsid w:val="00512DFB"/>
    <w:rsid w:val="00512E08"/>
    <w:rsid w:val="0051357B"/>
    <w:rsid w:val="005135E4"/>
    <w:rsid w:val="005139E8"/>
    <w:rsid w:val="00513EDA"/>
    <w:rsid w:val="00513F6B"/>
    <w:rsid w:val="005142A8"/>
    <w:rsid w:val="00514425"/>
    <w:rsid w:val="00514C40"/>
    <w:rsid w:val="00514E2D"/>
    <w:rsid w:val="00514ECF"/>
    <w:rsid w:val="00515915"/>
    <w:rsid w:val="00515B23"/>
    <w:rsid w:val="00515C39"/>
    <w:rsid w:val="00516381"/>
    <w:rsid w:val="00516487"/>
    <w:rsid w:val="00516C58"/>
    <w:rsid w:val="005173C0"/>
    <w:rsid w:val="00517471"/>
    <w:rsid w:val="005176BF"/>
    <w:rsid w:val="00520415"/>
    <w:rsid w:val="005204AE"/>
    <w:rsid w:val="00520A59"/>
    <w:rsid w:val="00521232"/>
    <w:rsid w:val="00521244"/>
    <w:rsid w:val="005212C4"/>
    <w:rsid w:val="005212DC"/>
    <w:rsid w:val="0052196C"/>
    <w:rsid w:val="005219CA"/>
    <w:rsid w:val="00521BFD"/>
    <w:rsid w:val="00521DB5"/>
    <w:rsid w:val="0052207B"/>
    <w:rsid w:val="0052239B"/>
    <w:rsid w:val="00522B13"/>
    <w:rsid w:val="00522B30"/>
    <w:rsid w:val="00522C03"/>
    <w:rsid w:val="005232B3"/>
    <w:rsid w:val="005233A5"/>
    <w:rsid w:val="00523886"/>
    <w:rsid w:val="00523C38"/>
    <w:rsid w:val="00523DDC"/>
    <w:rsid w:val="0052438E"/>
    <w:rsid w:val="00524C3E"/>
    <w:rsid w:val="0052531B"/>
    <w:rsid w:val="00525B0A"/>
    <w:rsid w:val="0052624A"/>
    <w:rsid w:val="00526266"/>
    <w:rsid w:val="00526493"/>
    <w:rsid w:val="00526A07"/>
    <w:rsid w:val="00526A2E"/>
    <w:rsid w:val="00526EBE"/>
    <w:rsid w:val="005270F9"/>
    <w:rsid w:val="005275A3"/>
    <w:rsid w:val="00527730"/>
    <w:rsid w:val="005302CE"/>
    <w:rsid w:val="00530BC0"/>
    <w:rsid w:val="0053109B"/>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6EB3"/>
    <w:rsid w:val="00537024"/>
    <w:rsid w:val="0053708A"/>
    <w:rsid w:val="00537261"/>
    <w:rsid w:val="00537334"/>
    <w:rsid w:val="0053770A"/>
    <w:rsid w:val="005379C2"/>
    <w:rsid w:val="00537BF0"/>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00"/>
    <w:rsid w:val="00544088"/>
    <w:rsid w:val="0054433B"/>
    <w:rsid w:val="00544536"/>
    <w:rsid w:val="00544AD7"/>
    <w:rsid w:val="005452DF"/>
    <w:rsid w:val="00545662"/>
    <w:rsid w:val="005456B5"/>
    <w:rsid w:val="0054585E"/>
    <w:rsid w:val="00545B76"/>
    <w:rsid w:val="00546073"/>
    <w:rsid w:val="00546328"/>
    <w:rsid w:val="00546F3E"/>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51F5"/>
    <w:rsid w:val="005565AB"/>
    <w:rsid w:val="00556A21"/>
    <w:rsid w:val="00556E29"/>
    <w:rsid w:val="00556EE7"/>
    <w:rsid w:val="00557A63"/>
    <w:rsid w:val="00557DC1"/>
    <w:rsid w:val="0056060F"/>
    <w:rsid w:val="005613E8"/>
    <w:rsid w:val="0056158C"/>
    <w:rsid w:val="00561816"/>
    <w:rsid w:val="005619B2"/>
    <w:rsid w:val="00561C27"/>
    <w:rsid w:val="00561E87"/>
    <w:rsid w:val="0056225F"/>
    <w:rsid w:val="0056255F"/>
    <w:rsid w:val="0056269B"/>
    <w:rsid w:val="005626BF"/>
    <w:rsid w:val="0056298E"/>
    <w:rsid w:val="00562C8B"/>
    <w:rsid w:val="00563627"/>
    <w:rsid w:val="0056396A"/>
    <w:rsid w:val="005641CA"/>
    <w:rsid w:val="00564478"/>
    <w:rsid w:val="005647F9"/>
    <w:rsid w:val="00564CE1"/>
    <w:rsid w:val="00565127"/>
    <w:rsid w:val="00566060"/>
    <w:rsid w:val="00566671"/>
    <w:rsid w:val="00566DAC"/>
    <w:rsid w:val="00566FEA"/>
    <w:rsid w:val="005676F5"/>
    <w:rsid w:val="00567C79"/>
    <w:rsid w:val="00570012"/>
    <w:rsid w:val="00570018"/>
    <w:rsid w:val="005704B3"/>
    <w:rsid w:val="005705A3"/>
    <w:rsid w:val="00570BFE"/>
    <w:rsid w:val="00570C1D"/>
    <w:rsid w:val="005715BD"/>
    <w:rsid w:val="0057270E"/>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D23"/>
    <w:rsid w:val="00576EC9"/>
    <w:rsid w:val="005770D5"/>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BE4"/>
    <w:rsid w:val="00581FFE"/>
    <w:rsid w:val="0058204D"/>
    <w:rsid w:val="0058252A"/>
    <w:rsid w:val="005825F6"/>
    <w:rsid w:val="00582C5B"/>
    <w:rsid w:val="00582EE0"/>
    <w:rsid w:val="00582FAB"/>
    <w:rsid w:val="00582FAD"/>
    <w:rsid w:val="00583129"/>
    <w:rsid w:val="005835F6"/>
    <w:rsid w:val="00583D40"/>
    <w:rsid w:val="00583E2B"/>
    <w:rsid w:val="00583E96"/>
    <w:rsid w:val="005840D6"/>
    <w:rsid w:val="00584B8F"/>
    <w:rsid w:val="00584E40"/>
    <w:rsid w:val="00584F0A"/>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427"/>
    <w:rsid w:val="005915F9"/>
    <w:rsid w:val="00591685"/>
    <w:rsid w:val="00591CE2"/>
    <w:rsid w:val="005922AA"/>
    <w:rsid w:val="00592D66"/>
    <w:rsid w:val="00592E64"/>
    <w:rsid w:val="00593021"/>
    <w:rsid w:val="005930BC"/>
    <w:rsid w:val="005938B8"/>
    <w:rsid w:val="00594595"/>
    <w:rsid w:val="00594764"/>
    <w:rsid w:val="0059485F"/>
    <w:rsid w:val="005949B0"/>
    <w:rsid w:val="00595627"/>
    <w:rsid w:val="00595716"/>
    <w:rsid w:val="0059590E"/>
    <w:rsid w:val="0059613A"/>
    <w:rsid w:val="0059627F"/>
    <w:rsid w:val="0059717E"/>
    <w:rsid w:val="00597359"/>
    <w:rsid w:val="00597C8C"/>
    <w:rsid w:val="00597D3A"/>
    <w:rsid w:val="005A01A6"/>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9C6"/>
    <w:rsid w:val="005A7AE3"/>
    <w:rsid w:val="005A7E99"/>
    <w:rsid w:val="005B07F8"/>
    <w:rsid w:val="005B0981"/>
    <w:rsid w:val="005B0B21"/>
    <w:rsid w:val="005B1133"/>
    <w:rsid w:val="005B1263"/>
    <w:rsid w:val="005B18AD"/>
    <w:rsid w:val="005B1C39"/>
    <w:rsid w:val="005B1DA4"/>
    <w:rsid w:val="005B2177"/>
    <w:rsid w:val="005B2A80"/>
    <w:rsid w:val="005B3497"/>
    <w:rsid w:val="005B3C1F"/>
    <w:rsid w:val="005B3CA8"/>
    <w:rsid w:val="005B3D17"/>
    <w:rsid w:val="005B3DA2"/>
    <w:rsid w:val="005B4201"/>
    <w:rsid w:val="005B45D0"/>
    <w:rsid w:val="005B4997"/>
    <w:rsid w:val="005B4CFC"/>
    <w:rsid w:val="005B4D79"/>
    <w:rsid w:val="005B515B"/>
    <w:rsid w:val="005B5324"/>
    <w:rsid w:val="005B544F"/>
    <w:rsid w:val="005B57B5"/>
    <w:rsid w:val="005B587D"/>
    <w:rsid w:val="005B6242"/>
    <w:rsid w:val="005B6AA8"/>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787"/>
    <w:rsid w:val="005C382F"/>
    <w:rsid w:val="005C3D75"/>
    <w:rsid w:val="005C4461"/>
    <w:rsid w:val="005C4D42"/>
    <w:rsid w:val="005C5186"/>
    <w:rsid w:val="005C5402"/>
    <w:rsid w:val="005C5DEF"/>
    <w:rsid w:val="005C5ECE"/>
    <w:rsid w:val="005C5ED9"/>
    <w:rsid w:val="005C6825"/>
    <w:rsid w:val="005C6B73"/>
    <w:rsid w:val="005C6BE2"/>
    <w:rsid w:val="005C7915"/>
    <w:rsid w:val="005C7A7A"/>
    <w:rsid w:val="005D0397"/>
    <w:rsid w:val="005D0565"/>
    <w:rsid w:val="005D071D"/>
    <w:rsid w:val="005D09B8"/>
    <w:rsid w:val="005D0B1C"/>
    <w:rsid w:val="005D1075"/>
    <w:rsid w:val="005D1248"/>
    <w:rsid w:val="005D1255"/>
    <w:rsid w:val="005D12C4"/>
    <w:rsid w:val="005D141F"/>
    <w:rsid w:val="005D1494"/>
    <w:rsid w:val="005D2102"/>
    <w:rsid w:val="005D26B7"/>
    <w:rsid w:val="005D2885"/>
    <w:rsid w:val="005D395A"/>
    <w:rsid w:val="005D48A2"/>
    <w:rsid w:val="005D497A"/>
    <w:rsid w:val="005D4AA8"/>
    <w:rsid w:val="005D54E1"/>
    <w:rsid w:val="005D62B3"/>
    <w:rsid w:val="005D6CC9"/>
    <w:rsid w:val="005D7583"/>
    <w:rsid w:val="005D764B"/>
    <w:rsid w:val="005D773B"/>
    <w:rsid w:val="005E0160"/>
    <w:rsid w:val="005E0257"/>
    <w:rsid w:val="005E03CB"/>
    <w:rsid w:val="005E0821"/>
    <w:rsid w:val="005E0A98"/>
    <w:rsid w:val="005E0C74"/>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5E4B"/>
    <w:rsid w:val="005E651B"/>
    <w:rsid w:val="005E6A00"/>
    <w:rsid w:val="005E6DD2"/>
    <w:rsid w:val="005E74A0"/>
    <w:rsid w:val="005E75D4"/>
    <w:rsid w:val="005E7D9F"/>
    <w:rsid w:val="005E7E2C"/>
    <w:rsid w:val="005E7ECE"/>
    <w:rsid w:val="005E7FAB"/>
    <w:rsid w:val="005F0BB2"/>
    <w:rsid w:val="005F0C5A"/>
    <w:rsid w:val="005F0D01"/>
    <w:rsid w:val="005F106A"/>
    <w:rsid w:val="005F1B40"/>
    <w:rsid w:val="005F1F06"/>
    <w:rsid w:val="005F2030"/>
    <w:rsid w:val="005F2104"/>
    <w:rsid w:val="005F262D"/>
    <w:rsid w:val="005F2738"/>
    <w:rsid w:val="005F2CD9"/>
    <w:rsid w:val="005F2DD4"/>
    <w:rsid w:val="005F40BB"/>
    <w:rsid w:val="005F4CC2"/>
    <w:rsid w:val="005F4FED"/>
    <w:rsid w:val="005F551C"/>
    <w:rsid w:val="005F5CE7"/>
    <w:rsid w:val="005F5F36"/>
    <w:rsid w:val="005F618D"/>
    <w:rsid w:val="005F6936"/>
    <w:rsid w:val="005F6F53"/>
    <w:rsid w:val="005F70DA"/>
    <w:rsid w:val="005F73D0"/>
    <w:rsid w:val="005F7770"/>
    <w:rsid w:val="005F7C8F"/>
    <w:rsid w:val="0060043D"/>
    <w:rsid w:val="0060058E"/>
    <w:rsid w:val="006008D1"/>
    <w:rsid w:val="006009A8"/>
    <w:rsid w:val="00600A7A"/>
    <w:rsid w:val="0060128F"/>
    <w:rsid w:val="00601C42"/>
    <w:rsid w:val="00601ECC"/>
    <w:rsid w:val="006023D9"/>
    <w:rsid w:val="0060269A"/>
    <w:rsid w:val="00602739"/>
    <w:rsid w:val="00602746"/>
    <w:rsid w:val="006027D2"/>
    <w:rsid w:val="00602916"/>
    <w:rsid w:val="00602979"/>
    <w:rsid w:val="00603085"/>
    <w:rsid w:val="00603616"/>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32A"/>
    <w:rsid w:val="00607702"/>
    <w:rsid w:val="0060793A"/>
    <w:rsid w:val="0060795D"/>
    <w:rsid w:val="00610620"/>
    <w:rsid w:val="00610CDF"/>
    <w:rsid w:val="0061110A"/>
    <w:rsid w:val="006112CD"/>
    <w:rsid w:val="00611A84"/>
    <w:rsid w:val="00611AEA"/>
    <w:rsid w:val="00611B10"/>
    <w:rsid w:val="00611D72"/>
    <w:rsid w:val="00611ED0"/>
    <w:rsid w:val="0061201A"/>
    <w:rsid w:val="006120DB"/>
    <w:rsid w:val="00612230"/>
    <w:rsid w:val="00612964"/>
    <w:rsid w:val="00612DE6"/>
    <w:rsid w:val="00612EAE"/>
    <w:rsid w:val="00613A36"/>
    <w:rsid w:val="00614254"/>
    <w:rsid w:val="00614317"/>
    <w:rsid w:val="0061433C"/>
    <w:rsid w:val="006143BD"/>
    <w:rsid w:val="0061445B"/>
    <w:rsid w:val="00614C53"/>
    <w:rsid w:val="00615263"/>
    <w:rsid w:val="0061599C"/>
    <w:rsid w:val="00615AD4"/>
    <w:rsid w:val="0061619C"/>
    <w:rsid w:val="006161C3"/>
    <w:rsid w:val="00616BFE"/>
    <w:rsid w:val="00617567"/>
    <w:rsid w:val="00617C5A"/>
    <w:rsid w:val="00617D36"/>
    <w:rsid w:val="00620A75"/>
    <w:rsid w:val="00621089"/>
    <w:rsid w:val="00621407"/>
    <w:rsid w:val="00621757"/>
    <w:rsid w:val="00621D27"/>
    <w:rsid w:val="0062225C"/>
    <w:rsid w:val="0062240F"/>
    <w:rsid w:val="00622B92"/>
    <w:rsid w:val="00622CC0"/>
    <w:rsid w:val="00622E33"/>
    <w:rsid w:val="00622FC5"/>
    <w:rsid w:val="00623C20"/>
    <w:rsid w:val="006243D6"/>
    <w:rsid w:val="00624A25"/>
    <w:rsid w:val="00624FB0"/>
    <w:rsid w:val="006254B4"/>
    <w:rsid w:val="006254FD"/>
    <w:rsid w:val="006255F2"/>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ADC"/>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37A82"/>
    <w:rsid w:val="00637F47"/>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8CA"/>
    <w:rsid w:val="0064591A"/>
    <w:rsid w:val="00645A8E"/>
    <w:rsid w:val="00645D07"/>
    <w:rsid w:val="00645E86"/>
    <w:rsid w:val="00646188"/>
    <w:rsid w:val="0064759D"/>
    <w:rsid w:val="00647777"/>
    <w:rsid w:val="0064792C"/>
    <w:rsid w:val="00647AB3"/>
    <w:rsid w:val="00647AD8"/>
    <w:rsid w:val="00647D86"/>
    <w:rsid w:val="00647F59"/>
    <w:rsid w:val="006500AB"/>
    <w:rsid w:val="00650342"/>
    <w:rsid w:val="00650640"/>
    <w:rsid w:val="00650684"/>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97D"/>
    <w:rsid w:val="00654C98"/>
    <w:rsid w:val="00654F06"/>
    <w:rsid w:val="00655501"/>
    <w:rsid w:val="006556BA"/>
    <w:rsid w:val="00655BFD"/>
    <w:rsid w:val="00655E3E"/>
    <w:rsid w:val="00655F1F"/>
    <w:rsid w:val="00655F4D"/>
    <w:rsid w:val="00656718"/>
    <w:rsid w:val="00656AE3"/>
    <w:rsid w:val="00656BAC"/>
    <w:rsid w:val="0065733B"/>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47E"/>
    <w:rsid w:val="006637E3"/>
    <w:rsid w:val="006638C7"/>
    <w:rsid w:val="00663D39"/>
    <w:rsid w:val="00664914"/>
    <w:rsid w:val="00664BF0"/>
    <w:rsid w:val="00664C0B"/>
    <w:rsid w:val="00664D47"/>
    <w:rsid w:val="0066591E"/>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509"/>
    <w:rsid w:val="00673B0F"/>
    <w:rsid w:val="00673B43"/>
    <w:rsid w:val="00673F70"/>
    <w:rsid w:val="00674720"/>
    <w:rsid w:val="00674C30"/>
    <w:rsid w:val="00675203"/>
    <w:rsid w:val="00675E8D"/>
    <w:rsid w:val="006760A1"/>
    <w:rsid w:val="00676A93"/>
    <w:rsid w:val="00676B02"/>
    <w:rsid w:val="006770D4"/>
    <w:rsid w:val="006773B8"/>
    <w:rsid w:val="006773E8"/>
    <w:rsid w:val="00677677"/>
    <w:rsid w:val="00677CFC"/>
    <w:rsid w:val="00677D3D"/>
    <w:rsid w:val="00677DE9"/>
    <w:rsid w:val="0068078B"/>
    <w:rsid w:val="00680CBA"/>
    <w:rsid w:val="006813EB"/>
    <w:rsid w:val="00681603"/>
    <w:rsid w:val="006817C4"/>
    <w:rsid w:val="006819A9"/>
    <w:rsid w:val="00681E17"/>
    <w:rsid w:val="00681E6E"/>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234"/>
    <w:rsid w:val="0068664E"/>
    <w:rsid w:val="00686997"/>
    <w:rsid w:val="006869F7"/>
    <w:rsid w:val="00686BAD"/>
    <w:rsid w:val="00686C6D"/>
    <w:rsid w:val="00687233"/>
    <w:rsid w:val="006873BE"/>
    <w:rsid w:val="006876AA"/>
    <w:rsid w:val="006903C0"/>
    <w:rsid w:val="0069052A"/>
    <w:rsid w:val="006909B7"/>
    <w:rsid w:val="00690BA0"/>
    <w:rsid w:val="00691664"/>
    <w:rsid w:val="0069186E"/>
    <w:rsid w:val="00691A55"/>
    <w:rsid w:val="00691BD2"/>
    <w:rsid w:val="00691CFE"/>
    <w:rsid w:val="0069210E"/>
    <w:rsid w:val="00692502"/>
    <w:rsid w:val="00692877"/>
    <w:rsid w:val="006930DF"/>
    <w:rsid w:val="00693285"/>
    <w:rsid w:val="006934CF"/>
    <w:rsid w:val="00693963"/>
    <w:rsid w:val="00693ACB"/>
    <w:rsid w:val="00693C50"/>
    <w:rsid w:val="006945EA"/>
    <w:rsid w:val="00694615"/>
    <w:rsid w:val="006947BD"/>
    <w:rsid w:val="006947C5"/>
    <w:rsid w:val="006947E2"/>
    <w:rsid w:val="00694A77"/>
    <w:rsid w:val="00694D4F"/>
    <w:rsid w:val="00694EFB"/>
    <w:rsid w:val="0069540B"/>
    <w:rsid w:val="006955CD"/>
    <w:rsid w:val="00696530"/>
    <w:rsid w:val="006967A1"/>
    <w:rsid w:val="0069749C"/>
    <w:rsid w:val="006977DD"/>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615"/>
    <w:rsid w:val="006A4700"/>
    <w:rsid w:val="006A4C45"/>
    <w:rsid w:val="006A4D08"/>
    <w:rsid w:val="006A4D41"/>
    <w:rsid w:val="006A53C0"/>
    <w:rsid w:val="006A541F"/>
    <w:rsid w:val="006A5CF8"/>
    <w:rsid w:val="006A62A4"/>
    <w:rsid w:val="006A66B0"/>
    <w:rsid w:val="006A6A19"/>
    <w:rsid w:val="006A73C4"/>
    <w:rsid w:val="006A7BC9"/>
    <w:rsid w:val="006B00A9"/>
    <w:rsid w:val="006B0264"/>
    <w:rsid w:val="006B04EB"/>
    <w:rsid w:val="006B05D3"/>
    <w:rsid w:val="006B0D24"/>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87C"/>
    <w:rsid w:val="006B5CB2"/>
    <w:rsid w:val="006B62DD"/>
    <w:rsid w:val="006B62E9"/>
    <w:rsid w:val="006B65FF"/>
    <w:rsid w:val="006B6D7C"/>
    <w:rsid w:val="006B6EF9"/>
    <w:rsid w:val="006B70FB"/>
    <w:rsid w:val="006B7163"/>
    <w:rsid w:val="006B7234"/>
    <w:rsid w:val="006B7260"/>
    <w:rsid w:val="006B77B4"/>
    <w:rsid w:val="006C0103"/>
    <w:rsid w:val="006C04FB"/>
    <w:rsid w:val="006C08AE"/>
    <w:rsid w:val="006C0BAF"/>
    <w:rsid w:val="006C0C3D"/>
    <w:rsid w:val="006C1465"/>
    <w:rsid w:val="006C15C1"/>
    <w:rsid w:val="006C162F"/>
    <w:rsid w:val="006C16EE"/>
    <w:rsid w:val="006C1C04"/>
    <w:rsid w:val="006C1C93"/>
    <w:rsid w:val="006C2524"/>
    <w:rsid w:val="006C2583"/>
    <w:rsid w:val="006C26A7"/>
    <w:rsid w:val="006C2AA5"/>
    <w:rsid w:val="006C2CEA"/>
    <w:rsid w:val="006C30E6"/>
    <w:rsid w:val="006C3273"/>
    <w:rsid w:val="006C32F8"/>
    <w:rsid w:val="006C3663"/>
    <w:rsid w:val="006C3B7C"/>
    <w:rsid w:val="006C3D2F"/>
    <w:rsid w:val="006C457A"/>
    <w:rsid w:val="006C45E9"/>
    <w:rsid w:val="006C4C76"/>
    <w:rsid w:val="006C52DE"/>
    <w:rsid w:val="006C55AB"/>
    <w:rsid w:val="006C577B"/>
    <w:rsid w:val="006C5B83"/>
    <w:rsid w:val="006C5DF4"/>
    <w:rsid w:val="006C660C"/>
    <w:rsid w:val="006C66D5"/>
    <w:rsid w:val="006C68CD"/>
    <w:rsid w:val="006C71AB"/>
    <w:rsid w:val="006C758D"/>
    <w:rsid w:val="006D016D"/>
    <w:rsid w:val="006D0A00"/>
    <w:rsid w:val="006D0A6F"/>
    <w:rsid w:val="006D0E5A"/>
    <w:rsid w:val="006D0EC4"/>
    <w:rsid w:val="006D10E8"/>
    <w:rsid w:val="006D119C"/>
    <w:rsid w:val="006D2216"/>
    <w:rsid w:val="006D27E6"/>
    <w:rsid w:val="006D289D"/>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9D"/>
    <w:rsid w:val="006E77E2"/>
    <w:rsid w:val="006E7867"/>
    <w:rsid w:val="006E7900"/>
    <w:rsid w:val="006E7D6C"/>
    <w:rsid w:val="006F03EE"/>
    <w:rsid w:val="006F06E8"/>
    <w:rsid w:val="006F08C0"/>
    <w:rsid w:val="006F08EF"/>
    <w:rsid w:val="006F0AA8"/>
    <w:rsid w:val="006F0D9F"/>
    <w:rsid w:val="006F0ED7"/>
    <w:rsid w:val="006F0EE4"/>
    <w:rsid w:val="006F0FD3"/>
    <w:rsid w:val="006F17CE"/>
    <w:rsid w:val="006F1955"/>
    <w:rsid w:val="006F1C41"/>
    <w:rsid w:val="006F1E76"/>
    <w:rsid w:val="006F231D"/>
    <w:rsid w:val="006F2540"/>
    <w:rsid w:val="006F2558"/>
    <w:rsid w:val="006F277E"/>
    <w:rsid w:val="006F2852"/>
    <w:rsid w:val="006F2F98"/>
    <w:rsid w:val="006F31D9"/>
    <w:rsid w:val="006F345F"/>
    <w:rsid w:val="006F34A5"/>
    <w:rsid w:val="006F34BB"/>
    <w:rsid w:val="006F3881"/>
    <w:rsid w:val="006F3B0E"/>
    <w:rsid w:val="006F3D39"/>
    <w:rsid w:val="006F404A"/>
    <w:rsid w:val="006F40E5"/>
    <w:rsid w:val="006F44DE"/>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769"/>
    <w:rsid w:val="00703986"/>
    <w:rsid w:val="00703AF1"/>
    <w:rsid w:val="00703BC5"/>
    <w:rsid w:val="00703D95"/>
    <w:rsid w:val="00704255"/>
    <w:rsid w:val="00704C93"/>
    <w:rsid w:val="00704D0F"/>
    <w:rsid w:val="00705752"/>
    <w:rsid w:val="00705A69"/>
    <w:rsid w:val="00706347"/>
    <w:rsid w:val="0070663E"/>
    <w:rsid w:val="00706747"/>
    <w:rsid w:val="00706F9F"/>
    <w:rsid w:val="007070EE"/>
    <w:rsid w:val="00707264"/>
    <w:rsid w:val="00707373"/>
    <w:rsid w:val="00707B50"/>
    <w:rsid w:val="00710542"/>
    <w:rsid w:val="0071082F"/>
    <w:rsid w:val="0071108E"/>
    <w:rsid w:val="007112FA"/>
    <w:rsid w:val="007114A6"/>
    <w:rsid w:val="0071172A"/>
    <w:rsid w:val="0071198A"/>
    <w:rsid w:val="00711F73"/>
    <w:rsid w:val="007120C9"/>
    <w:rsid w:val="0071253A"/>
    <w:rsid w:val="0071329F"/>
    <w:rsid w:val="00713B45"/>
    <w:rsid w:val="007146B8"/>
    <w:rsid w:val="00714FD3"/>
    <w:rsid w:val="0071530E"/>
    <w:rsid w:val="00715952"/>
    <w:rsid w:val="00715EE8"/>
    <w:rsid w:val="00716795"/>
    <w:rsid w:val="007167A7"/>
    <w:rsid w:val="007169A1"/>
    <w:rsid w:val="00716CA0"/>
    <w:rsid w:val="007172B7"/>
    <w:rsid w:val="007178CC"/>
    <w:rsid w:val="00717B97"/>
    <w:rsid w:val="00720154"/>
    <w:rsid w:val="007202E0"/>
    <w:rsid w:val="007209C2"/>
    <w:rsid w:val="00720C55"/>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AE5"/>
    <w:rsid w:val="00726B50"/>
    <w:rsid w:val="00726E5A"/>
    <w:rsid w:val="00727294"/>
    <w:rsid w:val="00727346"/>
    <w:rsid w:val="007274D8"/>
    <w:rsid w:val="0072771D"/>
    <w:rsid w:val="00727BF4"/>
    <w:rsid w:val="00727D59"/>
    <w:rsid w:val="00730640"/>
    <w:rsid w:val="00730EA0"/>
    <w:rsid w:val="007312B4"/>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5A4"/>
    <w:rsid w:val="007375D1"/>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44"/>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2EB8"/>
    <w:rsid w:val="00753414"/>
    <w:rsid w:val="0075357D"/>
    <w:rsid w:val="007535AA"/>
    <w:rsid w:val="007535DA"/>
    <w:rsid w:val="0075373B"/>
    <w:rsid w:val="00753FA3"/>
    <w:rsid w:val="0075460B"/>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CB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74D"/>
    <w:rsid w:val="00776A64"/>
    <w:rsid w:val="00776ADF"/>
    <w:rsid w:val="00776C58"/>
    <w:rsid w:val="00777036"/>
    <w:rsid w:val="00777103"/>
    <w:rsid w:val="0077710D"/>
    <w:rsid w:val="007778FA"/>
    <w:rsid w:val="00777DA8"/>
    <w:rsid w:val="00777FE0"/>
    <w:rsid w:val="00780241"/>
    <w:rsid w:val="0078085B"/>
    <w:rsid w:val="0078093E"/>
    <w:rsid w:val="007809CB"/>
    <w:rsid w:val="00780D9C"/>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12"/>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510"/>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9A9"/>
    <w:rsid w:val="007A3B3F"/>
    <w:rsid w:val="007A402E"/>
    <w:rsid w:val="007A4788"/>
    <w:rsid w:val="007A47C6"/>
    <w:rsid w:val="007A4B0A"/>
    <w:rsid w:val="007A4B65"/>
    <w:rsid w:val="007A4BA3"/>
    <w:rsid w:val="007A4C6F"/>
    <w:rsid w:val="007A4DE7"/>
    <w:rsid w:val="007A4E1C"/>
    <w:rsid w:val="007A5DFF"/>
    <w:rsid w:val="007A6338"/>
    <w:rsid w:val="007A63BF"/>
    <w:rsid w:val="007A6488"/>
    <w:rsid w:val="007A68BD"/>
    <w:rsid w:val="007A71E7"/>
    <w:rsid w:val="007A766B"/>
    <w:rsid w:val="007A7A5E"/>
    <w:rsid w:val="007A7C40"/>
    <w:rsid w:val="007A7DED"/>
    <w:rsid w:val="007A7DF2"/>
    <w:rsid w:val="007B00D1"/>
    <w:rsid w:val="007B0B6E"/>
    <w:rsid w:val="007B0F02"/>
    <w:rsid w:val="007B1164"/>
    <w:rsid w:val="007B140D"/>
    <w:rsid w:val="007B197C"/>
    <w:rsid w:val="007B1F76"/>
    <w:rsid w:val="007B27B4"/>
    <w:rsid w:val="007B2802"/>
    <w:rsid w:val="007B2F82"/>
    <w:rsid w:val="007B3314"/>
    <w:rsid w:val="007B3595"/>
    <w:rsid w:val="007B384D"/>
    <w:rsid w:val="007B3BA0"/>
    <w:rsid w:val="007B3FB5"/>
    <w:rsid w:val="007B4113"/>
    <w:rsid w:val="007B431B"/>
    <w:rsid w:val="007B4412"/>
    <w:rsid w:val="007B47D4"/>
    <w:rsid w:val="007B4823"/>
    <w:rsid w:val="007B4EC0"/>
    <w:rsid w:val="007B5135"/>
    <w:rsid w:val="007B5174"/>
    <w:rsid w:val="007B51F1"/>
    <w:rsid w:val="007B5837"/>
    <w:rsid w:val="007B5BC4"/>
    <w:rsid w:val="007B5C3E"/>
    <w:rsid w:val="007B5E07"/>
    <w:rsid w:val="007B608C"/>
    <w:rsid w:val="007B60CE"/>
    <w:rsid w:val="007B633F"/>
    <w:rsid w:val="007B6535"/>
    <w:rsid w:val="007B664A"/>
    <w:rsid w:val="007B6996"/>
    <w:rsid w:val="007B6B4A"/>
    <w:rsid w:val="007B6D2E"/>
    <w:rsid w:val="007B6D7A"/>
    <w:rsid w:val="007B6D8F"/>
    <w:rsid w:val="007B74C4"/>
    <w:rsid w:val="007B7559"/>
    <w:rsid w:val="007B76C3"/>
    <w:rsid w:val="007B76F2"/>
    <w:rsid w:val="007B7A2B"/>
    <w:rsid w:val="007B7FD9"/>
    <w:rsid w:val="007C07A1"/>
    <w:rsid w:val="007C0961"/>
    <w:rsid w:val="007C11ED"/>
    <w:rsid w:val="007C177D"/>
    <w:rsid w:val="007C1A65"/>
    <w:rsid w:val="007C21C3"/>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B"/>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9DD"/>
    <w:rsid w:val="007D2F8D"/>
    <w:rsid w:val="007D3474"/>
    <w:rsid w:val="007D45FF"/>
    <w:rsid w:val="007D4AB6"/>
    <w:rsid w:val="007D4B22"/>
    <w:rsid w:val="007D4E91"/>
    <w:rsid w:val="007D50FD"/>
    <w:rsid w:val="007D5363"/>
    <w:rsid w:val="007D5449"/>
    <w:rsid w:val="007D5534"/>
    <w:rsid w:val="007D5758"/>
    <w:rsid w:val="007D5923"/>
    <w:rsid w:val="007D5C33"/>
    <w:rsid w:val="007D605B"/>
    <w:rsid w:val="007D64F1"/>
    <w:rsid w:val="007D7DE0"/>
    <w:rsid w:val="007D7FEE"/>
    <w:rsid w:val="007E0104"/>
    <w:rsid w:val="007E08CF"/>
    <w:rsid w:val="007E0B46"/>
    <w:rsid w:val="007E0B6F"/>
    <w:rsid w:val="007E0DC6"/>
    <w:rsid w:val="007E16CC"/>
    <w:rsid w:val="007E1820"/>
    <w:rsid w:val="007E1919"/>
    <w:rsid w:val="007E1968"/>
    <w:rsid w:val="007E1C6B"/>
    <w:rsid w:val="007E22DB"/>
    <w:rsid w:val="007E2398"/>
    <w:rsid w:val="007E24AF"/>
    <w:rsid w:val="007E27FB"/>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D05"/>
    <w:rsid w:val="007F1A6B"/>
    <w:rsid w:val="007F1D7C"/>
    <w:rsid w:val="007F2545"/>
    <w:rsid w:val="007F2555"/>
    <w:rsid w:val="007F26D5"/>
    <w:rsid w:val="007F297D"/>
    <w:rsid w:val="007F2BA6"/>
    <w:rsid w:val="007F3088"/>
    <w:rsid w:val="007F32C9"/>
    <w:rsid w:val="007F35A0"/>
    <w:rsid w:val="007F4249"/>
    <w:rsid w:val="007F4643"/>
    <w:rsid w:val="007F52F1"/>
    <w:rsid w:val="007F5B9D"/>
    <w:rsid w:val="007F5E2A"/>
    <w:rsid w:val="007F66D7"/>
    <w:rsid w:val="007F68B8"/>
    <w:rsid w:val="007F6C11"/>
    <w:rsid w:val="007F6F7A"/>
    <w:rsid w:val="007F7420"/>
    <w:rsid w:val="007F756E"/>
    <w:rsid w:val="007F75BE"/>
    <w:rsid w:val="007F7FB2"/>
    <w:rsid w:val="008000C5"/>
    <w:rsid w:val="00800745"/>
    <w:rsid w:val="0080079F"/>
    <w:rsid w:val="00801416"/>
    <w:rsid w:val="00801F39"/>
    <w:rsid w:val="00802595"/>
    <w:rsid w:val="00802698"/>
    <w:rsid w:val="00802711"/>
    <w:rsid w:val="008028C9"/>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E7"/>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3BB"/>
    <w:rsid w:val="00817873"/>
    <w:rsid w:val="00820451"/>
    <w:rsid w:val="00820758"/>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6BB"/>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C5A"/>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491"/>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60B"/>
    <w:rsid w:val="0084589F"/>
    <w:rsid w:val="0084645D"/>
    <w:rsid w:val="0084654E"/>
    <w:rsid w:val="00846560"/>
    <w:rsid w:val="0084689A"/>
    <w:rsid w:val="00846A36"/>
    <w:rsid w:val="00846CDC"/>
    <w:rsid w:val="00846F12"/>
    <w:rsid w:val="00846F26"/>
    <w:rsid w:val="00847067"/>
    <w:rsid w:val="00847A28"/>
    <w:rsid w:val="00850090"/>
    <w:rsid w:val="008500A9"/>
    <w:rsid w:val="00850830"/>
    <w:rsid w:val="00850A6C"/>
    <w:rsid w:val="00850B0B"/>
    <w:rsid w:val="00850DE6"/>
    <w:rsid w:val="00850F12"/>
    <w:rsid w:val="0085205A"/>
    <w:rsid w:val="0085232C"/>
    <w:rsid w:val="00852345"/>
    <w:rsid w:val="00852C4A"/>
    <w:rsid w:val="00852C8B"/>
    <w:rsid w:val="00853053"/>
    <w:rsid w:val="0085362D"/>
    <w:rsid w:val="008536DA"/>
    <w:rsid w:val="008538DB"/>
    <w:rsid w:val="00853987"/>
    <w:rsid w:val="00853B92"/>
    <w:rsid w:val="00854775"/>
    <w:rsid w:val="00854A52"/>
    <w:rsid w:val="00854A92"/>
    <w:rsid w:val="00854AFC"/>
    <w:rsid w:val="00854E25"/>
    <w:rsid w:val="0085551A"/>
    <w:rsid w:val="00855D27"/>
    <w:rsid w:val="0085649B"/>
    <w:rsid w:val="00856840"/>
    <w:rsid w:val="00856B69"/>
    <w:rsid w:val="00856CD7"/>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476"/>
    <w:rsid w:val="00867573"/>
    <w:rsid w:val="00867831"/>
    <w:rsid w:val="00867877"/>
    <w:rsid w:val="008678D0"/>
    <w:rsid w:val="00867C64"/>
    <w:rsid w:val="008704DF"/>
    <w:rsid w:val="00870765"/>
    <w:rsid w:val="00870F09"/>
    <w:rsid w:val="00870F1D"/>
    <w:rsid w:val="0087118E"/>
    <w:rsid w:val="008715CB"/>
    <w:rsid w:val="00872058"/>
    <w:rsid w:val="008720AF"/>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476"/>
    <w:rsid w:val="00880672"/>
    <w:rsid w:val="00880758"/>
    <w:rsid w:val="008811B0"/>
    <w:rsid w:val="00881251"/>
    <w:rsid w:val="008814CC"/>
    <w:rsid w:val="00881C82"/>
    <w:rsid w:val="00881F0A"/>
    <w:rsid w:val="00882A32"/>
    <w:rsid w:val="00882C0C"/>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7"/>
    <w:rsid w:val="00887D0A"/>
    <w:rsid w:val="0089049E"/>
    <w:rsid w:val="008906E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B0C"/>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8E"/>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A7C8A"/>
    <w:rsid w:val="008B055D"/>
    <w:rsid w:val="008B0618"/>
    <w:rsid w:val="008B0A52"/>
    <w:rsid w:val="008B0C16"/>
    <w:rsid w:val="008B12AF"/>
    <w:rsid w:val="008B140D"/>
    <w:rsid w:val="008B1836"/>
    <w:rsid w:val="008B1A1D"/>
    <w:rsid w:val="008B1B28"/>
    <w:rsid w:val="008B1F69"/>
    <w:rsid w:val="008B1FC0"/>
    <w:rsid w:val="008B1FE2"/>
    <w:rsid w:val="008B2035"/>
    <w:rsid w:val="008B2488"/>
    <w:rsid w:val="008B28E1"/>
    <w:rsid w:val="008B3EB8"/>
    <w:rsid w:val="008B43D4"/>
    <w:rsid w:val="008B4600"/>
    <w:rsid w:val="008B4D0A"/>
    <w:rsid w:val="008B4D8B"/>
    <w:rsid w:val="008B4FF4"/>
    <w:rsid w:val="008B5BFA"/>
    <w:rsid w:val="008B61AB"/>
    <w:rsid w:val="008B6359"/>
    <w:rsid w:val="008B64BF"/>
    <w:rsid w:val="008B65D8"/>
    <w:rsid w:val="008B6F4B"/>
    <w:rsid w:val="008B7302"/>
    <w:rsid w:val="008B7D40"/>
    <w:rsid w:val="008B7EEF"/>
    <w:rsid w:val="008C01E9"/>
    <w:rsid w:val="008C06D4"/>
    <w:rsid w:val="008C07EB"/>
    <w:rsid w:val="008C0821"/>
    <w:rsid w:val="008C0A56"/>
    <w:rsid w:val="008C0DDC"/>
    <w:rsid w:val="008C0E2F"/>
    <w:rsid w:val="008C130D"/>
    <w:rsid w:val="008C17E1"/>
    <w:rsid w:val="008C18B2"/>
    <w:rsid w:val="008C20C8"/>
    <w:rsid w:val="008C2112"/>
    <w:rsid w:val="008C27BC"/>
    <w:rsid w:val="008C2B05"/>
    <w:rsid w:val="008C2B8E"/>
    <w:rsid w:val="008C2D6D"/>
    <w:rsid w:val="008C2E6A"/>
    <w:rsid w:val="008C39C5"/>
    <w:rsid w:val="008C3C77"/>
    <w:rsid w:val="008C4536"/>
    <w:rsid w:val="008C4692"/>
    <w:rsid w:val="008C487B"/>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146"/>
    <w:rsid w:val="008E155C"/>
    <w:rsid w:val="008E17D5"/>
    <w:rsid w:val="008E18F8"/>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A38"/>
    <w:rsid w:val="008E5BC6"/>
    <w:rsid w:val="008E6050"/>
    <w:rsid w:val="008E6A3D"/>
    <w:rsid w:val="008E6D8A"/>
    <w:rsid w:val="008E7679"/>
    <w:rsid w:val="008E77A1"/>
    <w:rsid w:val="008E78E9"/>
    <w:rsid w:val="008E7C9D"/>
    <w:rsid w:val="008F0554"/>
    <w:rsid w:val="008F06A2"/>
    <w:rsid w:val="008F0B33"/>
    <w:rsid w:val="008F0CD7"/>
    <w:rsid w:val="008F0D5D"/>
    <w:rsid w:val="008F10CE"/>
    <w:rsid w:val="008F1285"/>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B78"/>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587"/>
    <w:rsid w:val="00903B1A"/>
    <w:rsid w:val="009040AA"/>
    <w:rsid w:val="00904F14"/>
    <w:rsid w:val="00905031"/>
    <w:rsid w:val="009052C0"/>
    <w:rsid w:val="0090567B"/>
    <w:rsid w:val="00905730"/>
    <w:rsid w:val="00905BEE"/>
    <w:rsid w:val="009061C3"/>
    <w:rsid w:val="009063E2"/>
    <w:rsid w:val="0090692F"/>
    <w:rsid w:val="00906C3D"/>
    <w:rsid w:val="00907749"/>
    <w:rsid w:val="00907A52"/>
    <w:rsid w:val="00910716"/>
    <w:rsid w:val="00910751"/>
    <w:rsid w:val="00910990"/>
    <w:rsid w:val="00910DF9"/>
    <w:rsid w:val="0091132A"/>
    <w:rsid w:val="009116AD"/>
    <w:rsid w:val="009116DB"/>
    <w:rsid w:val="00911A16"/>
    <w:rsid w:val="00911B2D"/>
    <w:rsid w:val="00912881"/>
    <w:rsid w:val="00912AD2"/>
    <w:rsid w:val="00912B89"/>
    <w:rsid w:val="00912D89"/>
    <w:rsid w:val="009131EE"/>
    <w:rsid w:val="009133EF"/>
    <w:rsid w:val="00913AD8"/>
    <w:rsid w:val="00913DF6"/>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5D23"/>
    <w:rsid w:val="009363B5"/>
    <w:rsid w:val="00936592"/>
    <w:rsid w:val="00936816"/>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1"/>
    <w:rsid w:val="00943105"/>
    <w:rsid w:val="00944072"/>
    <w:rsid w:val="009445E0"/>
    <w:rsid w:val="00944F33"/>
    <w:rsid w:val="00944FA0"/>
    <w:rsid w:val="0094513E"/>
    <w:rsid w:val="009451BB"/>
    <w:rsid w:val="0094554E"/>
    <w:rsid w:val="00945E56"/>
    <w:rsid w:val="0094707D"/>
    <w:rsid w:val="00947288"/>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0D"/>
    <w:rsid w:val="00960947"/>
    <w:rsid w:val="00960E04"/>
    <w:rsid w:val="00961169"/>
    <w:rsid w:val="00961250"/>
    <w:rsid w:val="009616C2"/>
    <w:rsid w:val="00961A1A"/>
    <w:rsid w:val="00961A4C"/>
    <w:rsid w:val="00961F8C"/>
    <w:rsid w:val="009621A5"/>
    <w:rsid w:val="009623CA"/>
    <w:rsid w:val="009624C1"/>
    <w:rsid w:val="0096287B"/>
    <w:rsid w:val="009628F7"/>
    <w:rsid w:val="009637FD"/>
    <w:rsid w:val="00963C22"/>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67FFB"/>
    <w:rsid w:val="0097010A"/>
    <w:rsid w:val="009706D4"/>
    <w:rsid w:val="00970B6A"/>
    <w:rsid w:val="00970C32"/>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51"/>
    <w:rsid w:val="00980ACA"/>
    <w:rsid w:val="00980F14"/>
    <w:rsid w:val="0098125C"/>
    <w:rsid w:val="0098146B"/>
    <w:rsid w:val="00981877"/>
    <w:rsid w:val="0098271D"/>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841"/>
    <w:rsid w:val="00986D0E"/>
    <w:rsid w:val="00986E15"/>
    <w:rsid w:val="009871C5"/>
    <w:rsid w:val="0098742C"/>
    <w:rsid w:val="0098765F"/>
    <w:rsid w:val="00987688"/>
    <w:rsid w:val="00987804"/>
    <w:rsid w:val="00987A47"/>
    <w:rsid w:val="00987C7A"/>
    <w:rsid w:val="00987DFA"/>
    <w:rsid w:val="009900E6"/>
    <w:rsid w:val="00990B6D"/>
    <w:rsid w:val="00990DDE"/>
    <w:rsid w:val="00990FCA"/>
    <w:rsid w:val="00991123"/>
    <w:rsid w:val="0099117B"/>
    <w:rsid w:val="009913C7"/>
    <w:rsid w:val="00991550"/>
    <w:rsid w:val="0099181B"/>
    <w:rsid w:val="00993756"/>
    <w:rsid w:val="00993ACA"/>
    <w:rsid w:val="00993DAE"/>
    <w:rsid w:val="00993E65"/>
    <w:rsid w:val="009942BA"/>
    <w:rsid w:val="0099462D"/>
    <w:rsid w:val="00994EAF"/>
    <w:rsid w:val="00995139"/>
    <w:rsid w:val="009953FE"/>
    <w:rsid w:val="009959E3"/>
    <w:rsid w:val="0099603B"/>
    <w:rsid w:val="00996446"/>
    <w:rsid w:val="00996701"/>
    <w:rsid w:val="009967DD"/>
    <w:rsid w:val="00996B88"/>
    <w:rsid w:val="00997040"/>
    <w:rsid w:val="0099721E"/>
    <w:rsid w:val="00997271"/>
    <w:rsid w:val="00997461"/>
    <w:rsid w:val="00997594"/>
    <w:rsid w:val="00997A4A"/>
    <w:rsid w:val="009A0B18"/>
    <w:rsid w:val="009A0B30"/>
    <w:rsid w:val="009A0B77"/>
    <w:rsid w:val="009A0FBA"/>
    <w:rsid w:val="009A1606"/>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2B8"/>
    <w:rsid w:val="009A74C3"/>
    <w:rsid w:val="009A7D1C"/>
    <w:rsid w:val="009B041E"/>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815"/>
    <w:rsid w:val="009C01F0"/>
    <w:rsid w:val="009C0292"/>
    <w:rsid w:val="009C0303"/>
    <w:rsid w:val="009C0693"/>
    <w:rsid w:val="009C0E41"/>
    <w:rsid w:val="009C0EB4"/>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455"/>
    <w:rsid w:val="009C473C"/>
    <w:rsid w:val="009C4F42"/>
    <w:rsid w:val="009C51DE"/>
    <w:rsid w:val="009C5224"/>
    <w:rsid w:val="009C5419"/>
    <w:rsid w:val="009C5BEB"/>
    <w:rsid w:val="009C5E27"/>
    <w:rsid w:val="009C64FA"/>
    <w:rsid w:val="009C6C1D"/>
    <w:rsid w:val="009C6EDB"/>
    <w:rsid w:val="009C76E4"/>
    <w:rsid w:val="009C7BA4"/>
    <w:rsid w:val="009C7CE6"/>
    <w:rsid w:val="009C7E4E"/>
    <w:rsid w:val="009D03D2"/>
    <w:rsid w:val="009D046D"/>
    <w:rsid w:val="009D0AFD"/>
    <w:rsid w:val="009D0E38"/>
    <w:rsid w:val="009D0E99"/>
    <w:rsid w:val="009D0F7A"/>
    <w:rsid w:val="009D1640"/>
    <w:rsid w:val="009D1A2B"/>
    <w:rsid w:val="009D1D70"/>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9AB"/>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8D0"/>
    <w:rsid w:val="009E6F7C"/>
    <w:rsid w:val="009E753F"/>
    <w:rsid w:val="009E765C"/>
    <w:rsid w:val="009E76AC"/>
    <w:rsid w:val="009E775C"/>
    <w:rsid w:val="009E77D2"/>
    <w:rsid w:val="009F080B"/>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3F67"/>
    <w:rsid w:val="009F40DE"/>
    <w:rsid w:val="009F4174"/>
    <w:rsid w:val="009F4633"/>
    <w:rsid w:val="009F4EA8"/>
    <w:rsid w:val="009F5AD9"/>
    <w:rsid w:val="009F5CF0"/>
    <w:rsid w:val="009F5E97"/>
    <w:rsid w:val="009F61A9"/>
    <w:rsid w:val="009F68BB"/>
    <w:rsid w:val="009F6C5E"/>
    <w:rsid w:val="009F6CC4"/>
    <w:rsid w:val="009F6F55"/>
    <w:rsid w:val="009F71DE"/>
    <w:rsid w:val="009F7316"/>
    <w:rsid w:val="009F7423"/>
    <w:rsid w:val="009F7B97"/>
    <w:rsid w:val="00A00531"/>
    <w:rsid w:val="00A014C6"/>
    <w:rsid w:val="00A025B3"/>
    <w:rsid w:val="00A0276E"/>
    <w:rsid w:val="00A028C3"/>
    <w:rsid w:val="00A0310E"/>
    <w:rsid w:val="00A03885"/>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D08"/>
    <w:rsid w:val="00A11F87"/>
    <w:rsid w:val="00A124A0"/>
    <w:rsid w:val="00A128AF"/>
    <w:rsid w:val="00A12996"/>
    <w:rsid w:val="00A12A98"/>
    <w:rsid w:val="00A13761"/>
    <w:rsid w:val="00A139AC"/>
    <w:rsid w:val="00A13CE0"/>
    <w:rsid w:val="00A1416B"/>
    <w:rsid w:val="00A1431F"/>
    <w:rsid w:val="00A14B4E"/>
    <w:rsid w:val="00A14C73"/>
    <w:rsid w:val="00A15676"/>
    <w:rsid w:val="00A159CE"/>
    <w:rsid w:val="00A15DFA"/>
    <w:rsid w:val="00A16110"/>
    <w:rsid w:val="00A1669F"/>
    <w:rsid w:val="00A16714"/>
    <w:rsid w:val="00A16AB7"/>
    <w:rsid w:val="00A16B92"/>
    <w:rsid w:val="00A1747D"/>
    <w:rsid w:val="00A17AB7"/>
    <w:rsid w:val="00A17CDF"/>
    <w:rsid w:val="00A17DD5"/>
    <w:rsid w:val="00A20897"/>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0B"/>
    <w:rsid w:val="00A26AF5"/>
    <w:rsid w:val="00A26BCA"/>
    <w:rsid w:val="00A26E4A"/>
    <w:rsid w:val="00A275DF"/>
    <w:rsid w:val="00A278A4"/>
    <w:rsid w:val="00A27A41"/>
    <w:rsid w:val="00A3009A"/>
    <w:rsid w:val="00A3084E"/>
    <w:rsid w:val="00A30995"/>
    <w:rsid w:val="00A30ABB"/>
    <w:rsid w:val="00A30AEE"/>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2A9"/>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3CE"/>
    <w:rsid w:val="00A4067F"/>
    <w:rsid w:val="00A40952"/>
    <w:rsid w:val="00A4098A"/>
    <w:rsid w:val="00A40ADC"/>
    <w:rsid w:val="00A40BE2"/>
    <w:rsid w:val="00A40CF6"/>
    <w:rsid w:val="00A40E37"/>
    <w:rsid w:val="00A41907"/>
    <w:rsid w:val="00A41996"/>
    <w:rsid w:val="00A41AE6"/>
    <w:rsid w:val="00A41C3C"/>
    <w:rsid w:val="00A42B8E"/>
    <w:rsid w:val="00A42DF0"/>
    <w:rsid w:val="00A43164"/>
    <w:rsid w:val="00A43557"/>
    <w:rsid w:val="00A4361D"/>
    <w:rsid w:val="00A436C4"/>
    <w:rsid w:val="00A4399E"/>
    <w:rsid w:val="00A43AC9"/>
    <w:rsid w:val="00A44135"/>
    <w:rsid w:val="00A4454A"/>
    <w:rsid w:val="00A44B1D"/>
    <w:rsid w:val="00A44E9B"/>
    <w:rsid w:val="00A44EDE"/>
    <w:rsid w:val="00A45099"/>
    <w:rsid w:val="00A4560C"/>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A27"/>
    <w:rsid w:val="00A52E7D"/>
    <w:rsid w:val="00A53095"/>
    <w:rsid w:val="00A5321D"/>
    <w:rsid w:val="00A534DF"/>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A91"/>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2CF2"/>
    <w:rsid w:val="00A7303D"/>
    <w:rsid w:val="00A73291"/>
    <w:rsid w:val="00A7334C"/>
    <w:rsid w:val="00A7345A"/>
    <w:rsid w:val="00A73467"/>
    <w:rsid w:val="00A73809"/>
    <w:rsid w:val="00A73A43"/>
    <w:rsid w:val="00A73CFF"/>
    <w:rsid w:val="00A73D3B"/>
    <w:rsid w:val="00A73E27"/>
    <w:rsid w:val="00A74004"/>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2EA3"/>
    <w:rsid w:val="00A83517"/>
    <w:rsid w:val="00A8379A"/>
    <w:rsid w:val="00A83DE7"/>
    <w:rsid w:val="00A842B9"/>
    <w:rsid w:val="00A84AB7"/>
    <w:rsid w:val="00A84FBB"/>
    <w:rsid w:val="00A85143"/>
    <w:rsid w:val="00A854E1"/>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16"/>
    <w:rsid w:val="00A92200"/>
    <w:rsid w:val="00A93756"/>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0C2"/>
    <w:rsid w:val="00AA58B9"/>
    <w:rsid w:val="00AA5E3D"/>
    <w:rsid w:val="00AA63C9"/>
    <w:rsid w:val="00AA68B3"/>
    <w:rsid w:val="00AA6991"/>
    <w:rsid w:val="00AA6C49"/>
    <w:rsid w:val="00AA6C65"/>
    <w:rsid w:val="00AA6D4A"/>
    <w:rsid w:val="00AA741E"/>
    <w:rsid w:val="00AA7C53"/>
    <w:rsid w:val="00AA7C65"/>
    <w:rsid w:val="00AB01EA"/>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6974"/>
    <w:rsid w:val="00AB7091"/>
    <w:rsid w:val="00AB75FC"/>
    <w:rsid w:val="00AB780B"/>
    <w:rsid w:val="00AB7D1E"/>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22F"/>
    <w:rsid w:val="00AC652C"/>
    <w:rsid w:val="00AC6554"/>
    <w:rsid w:val="00AC68D7"/>
    <w:rsid w:val="00AC6B78"/>
    <w:rsid w:val="00AC6D0B"/>
    <w:rsid w:val="00AC6D19"/>
    <w:rsid w:val="00AC6EC4"/>
    <w:rsid w:val="00AC70C0"/>
    <w:rsid w:val="00AD02B7"/>
    <w:rsid w:val="00AD03D6"/>
    <w:rsid w:val="00AD0593"/>
    <w:rsid w:val="00AD05B0"/>
    <w:rsid w:val="00AD0B66"/>
    <w:rsid w:val="00AD135F"/>
    <w:rsid w:val="00AD1831"/>
    <w:rsid w:val="00AD18EE"/>
    <w:rsid w:val="00AD2747"/>
    <w:rsid w:val="00AD2DDA"/>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4"/>
    <w:rsid w:val="00AE6BCD"/>
    <w:rsid w:val="00AE710C"/>
    <w:rsid w:val="00AE71CE"/>
    <w:rsid w:val="00AE7375"/>
    <w:rsid w:val="00AE7691"/>
    <w:rsid w:val="00AE76F3"/>
    <w:rsid w:val="00AE77D6"/>
    <w:rsid w:val="00AF0002"/>
    <w:rsid w:val="00AF0481"/>
    <w:rsid w:val="00AF0AEB"/>
    <w:rsid w:val="00AF0C58"/>
    <w:rsid w:val="00AF1079"/>
    <w:rsid w:val="00AF165A"/>
    <w:rsid w:val="00AF1D5E"/>
    <w:rsid w:val="00AF203B"/>
    <w:rsid w:val="00AF2484"/>
    <w:rsid w:val="00AF2BC0"/>
    <w:rsid w:val="00AF3DA5"/>
    <w:rsid w:val="00AF492C"/>
    <w:rsid w:val="00AF49EA"/>
    <w:rsid w:val="00AF4F20"/>
    <w:rsid w:val="00AF4F66"/>
    <w:rsid w:val="00AF5647"/>
    <w:rsid w:val="00AF56B7"/>
    <w:rsid w:val="00AF5AFE"/>
    <w:rsid w:val="00AF666D"/>
    <w:rsid w:val="00AF6804"/>
    <w:rsid w:val="00AF6AA5"/>
    <w:rsid w:val="00AF6AB0"/>
    <w:rsid w:val="00AF6DE2"/>
    <w:rsid w:val="00AF7210"/>
    <w:rsid w:val="00AF7582"/>
    <w:rsid w:val="00B00380"/>
    <w:rsid w:val="00B00433"/>
    <w:rsid w:val="00B00AFA"/>
    <w:rsid w:val="00B017D8"/>
    <w:rsid w:val="00B01A56"/>
    <w:rsid w:val="00B01E99"/>
    <w:rsid w:val="00B025A5"/>
    <w:rsid w:val="00B0383E"/>
    <w:rsid w:val="00B03852"/>
    <w:rsid w:val="00B03B76"/>
    <w:rsid w:val="00B03C53"/>
    <w:rsid w:val="00B03D71"/>
    <w:rsid w:val="00B049DD"/>
    <w:rsid w:val="00B04DD1"/>
    <w:rsid w:val="00B04FF3"/>
    <w:rsid w:val="00B058A6"/>
    <w:rsid w:val="00B05AD9"/>
    <w:rsid w:val="00B06117"/>
    <w:rsid w:val="00B06278"/>
    <w:rsid w:val="00B069A8"/>
    <w:rsid w:val="00B06ADB"/>
    <w:rsid w:val="00B06B74"/>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421"/>
    <w:rsid w:val="00B15683"/>
    <w:rsid w:val="00B158D7"/>
    <w:rsid w:val="00B15B7C"/>
    <w:rsid w:val="00B15C7C"/>
    <w:rsid w:val="00B15EDE"/>
    <w:rsid w:val="00B160BA"/>
    <w:rsid w:val="00B1651F"/>
    <w:rsid w:val="00B165E0"/>
    <w:rsid w:val="00B166D4"/>
    <w:rsid w:val="00B16745"/>
    <w:rsid w:val="00B175E1"/>
    <w:rsid w:val="00B175E2"/>
    <w:rsid w:val="00B17922"/>
    <w:rsid w:val="00B179BB"/>
    <w:rsid w:val="00B206CE"/>
    <w:rsid w:val="00B20DA0"/>
    <w:rsid w:val="00B20DB6"/>
    <w:rsid w:val="00B21331"/>
    <w:rsid w:val="00B21420"/>
    <w:rsid w:val="00B2149A"/>
    <w:rsid w:val="00B2158E"/>
    <w:rsid w:val="00B21E14"/>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4CD"/>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22E"/>
    <w:rsid w:val="00B314D1"/>
    <w:rsid w:val="00B31748"/>
    <w:rsid w:val="00B31C36"/>
    <w:rsid w:val="00B31D68"/>
    <w:rsid w:val="00B31F3C"/>
    <w:rsid w:val="00B33139"/>
    <w:rsid w:val="00B336C5"/>
    <w:rsid w:val="00B33B3A"/>
    <w:rsid w:val="00B33D84"/>
    <w:rsid w:val="00B34227"/>
    <w:rsid w:val="00B3429A"/>
    <w:rsid w:val="00B3450B"/>
    <w:rsid w:val="00B35118"/>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0F6B"/>
    <w:rsid w:val="00B4139F"/>
    <w:rsid w:val="00B41636"/>
    <w:rsid w:val="00B429BA"/>
    <w:rsid w:val="00B42D85"/>
    <w:rsid w:val="00B42E79"/>
    <w:rsid w:val="00B433DE"/>
    <w:rsid w:val="00B4369C"/>
    <w:rsid w:val="00B437BB"/>
    <w:rsid w:val="00B44444"/>
    <w:rsid w:val="00B44A2B"/>
    <w:rsid w:val="00B44DB0"/>
    <w:rsid w:val="00B4516E"/>
    <w:rsid w:val="00B45389"/>
    <w:rsid w:val="00B45678"/>
    <w:rsid w:val="00B457E2"/>
    <w:rsid w:val="00B458C2"/>
    <w:rsid w:val="00B4690A"/>
    <w:rsid w:val="00B4717F"/>
    <w:rsid w:val="00B4759C"/>
    <w:rsid w:val="00B4780B"/>
    <w:rsid w:val="00B47AF6"/>
    <w:rsid w:val="00B504EA"/>
    <w:rsid w:val="00B50F32"/>
    <w:rsid w:val="00B512C9"/>
    <w:rsid w:val="00B52051"/>
    <w:rsid w:val="00B5221E"/>
    <w:rsid w:val="00B5248C"/>
    <w:rsid w:val="00B526A3"/>
    <w:rsid w:val="00B52B60"/>
    <w:rsid w:val="00B52D73"/>
    <w:rsid w:val="00B53063"/>
    <w:rsid w:val="00B533C7"/>
    <w:rsid w:val="00B5361C"/>
    <w:rsid w:val="00B53682"/>
    <w:rsid w:val="00B538B9"/>
    <w:rsid w:val="00B53EE2"/>
    <w:rsid w:val="00B53EF3"/>
    <w:rsid w:val="00B54457"/>
    <w:rsid w:val="00B54531"/>
    <w:rsid w:val="00B547F6"/>
    <w:rsid w:val="00B54FAF"/>
    <w:rsid w:val="00B55189"/>
    <w:rsid w:val="00B55347"/>
    <w:rsid w:val="00B55530"/>
    <w:rsid w:val="00B55A37"/>
    <w:rsid w:val="00B55DC9"/>
    <w:rsid w:val="00B55E1C"/>
    <w:rsid w:val="00B56271"/>
    <w:rsid w:val="00B56C44"/>
    <w:rsid w:val="00B56CB8"/>
    <w:rsid w:val="00B56D3B"/>
    <w:rsid w:val="00B56E85"/>
    <w:rsid w:val="00B56FB8"/>
    <w:rsid w:val="00B57234"/>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8EB"/>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526"/>
    <w:rsid w:val="00B7377D"/>
    <w:rsid w:val="00B739CC"/>
    <w:rsid w:val="00B740EF"/>
    <w:rsid w:val="00B74861"/>
    <w:rsid w:val="00B74B2A"/>
    <w:rsid w:val="00B74B7C"/>
    <w:rsid w:val="00B75123"/>
    <w:rsid w:val="00B75A06"/>
    <w:rsid w:val="00B75B80"/>
    <w:rsid w:val="00B75C12"/>
    <w:rsid w:val="00B75C14"/>
    <w:rsid w:val="00B75D1F"/>
    <w:rsid w:val="00B76499"/>
    <w:rsid w:val="00B765CC"/>
    <w:rsid w:val="00B76A62"/>
    <w:rsid w:val="00B76FAE"/>
    <w:rsid w:val="00B77603"/>
    <w:rsid w:val="00B77C75"/>
    <w:rsid w:val="00B77F09"/>
    <w:rsid w:val="00B8027E"/>
    <w:rsid w:val="00B802B8"/>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3E36"/>
    <w:rsid w:val="00B84996"/>
    <w:rsid w:val="00B84DE8"/>
    <w:rsid w:val="00B85009"/>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1E6F"/>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E04"/>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50F"/>
    <w:rsid w:val="00BB06D7"/>
    <w:rsid w:val="00BB09F9"/>
    <w:rsid w:val="00BB0DAA"/>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BC4"/>
    <w:rsid w:val="00BB6DCE"/>
    <w:rsid w:val="00BB766C"/>
    <w:rsid w:val="00BB7EEF"/>
    <w:rsid w:val="00BC0244"/>
    <w:rsid w:val="00BC02F1"/>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198"/>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37"/>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650"/>
    <w:rsid w:val="00BE0A86"/>
    <w:rsid w:val="00BE0BE3"/>
    <w:rsid w:val="00BE0BEA"/>
    <w:rsid w:val="00BE1950"/>
    <w:rsid w:val="00BE1A22"/>
    <w:rsid w:val="00BE2571"/>
    <w:rsid w:val="00BE2751"/>
    <w:rsid w:val="00BE2793"/>
    <w:rsid w:val="00BE27D3"/>
    <w:rsid w:val="00BE28E7"/>
    <w:rsid w:val="00BE2E5C"/>
    <w:rsid w:val="00BE36CC"/>
    <w:rsid w:val="00BE3813"/>
    <w:rsid w:val="00BE393E"/>
    <w:rsid w:val="00BE3C93"/>
    <w:rsid w:val="00BE3CD3"/>
    <w:rsid w:val="00BE426A"/>
    <w:rsid w:val="00BE4301"/>
    <w:rsid w:val="00BE474E"/>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7E8"/>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5BC"/>
    <w:rsid w:val="00BF7E75"/>
    <w:rsid w:val="00BF7F62"/>
    <w:rsid w:val="00C00A4F"/>
    <w:rsid w:val="00C01033"/>
    <w:rsid w:val="00C012F5"/>
    <w:rsid w:val="00C014C4"/>
    <w:rsid w:val="00C01505"/>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4A2"/>
    <w:rsid w:val="00C11813"/>
    <w:rsid w:val="00C12492"/>
    <w:rsid w:val="00C12DE9"/>
    <w:rsid w:val="00C1322C"/>
    <w:rsid w:val="00C132C8"/>
    <w:rsid w:val="00C1346B"/>
    <w:rsid w:val="00C134BA"/>
    <w:rsid w:val="00C13A38"/>
    <w:rsid w:val="00C13CCD"/>
    <w:rsid w:val="00C140F7"/>
    <w:rsid w:val="00C14361"/>
    <w:rsid w:val="00C14669"/>
    <w:rsid w:val="00C146B2"/>
    <w:rsid w:val="00C14DD9"/>
    <w:rsid w:val="00C14E49"/>
    <w:rsid w:val="00C150EB"/>
    <w:rsid w:val="00C15A13"/>
    <w:rsid w:val="00C15D91"/>
    <w:rsid w:val="00C15DF5"/>
    <w:rsid w:val="00C1611A"/>
    <w:rsid w:val="00C162AA"/>
    <w:rsid w:val="00C162BC"/>
    <w:rsid w:val="00C16533"/>
    <w:rsid w:val="00C165B7"/>
    <w:rsid w:val="00C1677A"/>
    <w:rsid w:val="00C167F8"/>
    <w:rsid w:val="00C170C0"/>
    <w:rsid w:val="00C172FC"/>
    <w:rsid w:val="00C17627"/>
    <w:rsid w:val="00C17BE6"/>
    <w:rsid w:val="00C17E34"/>
    <w:rsid w:val="00C20550"/>
    <w:rsid w:val="00C206A4"/>
    <w:rsid w:val="00C20842"/>
    <w:rsid w:val="00C20A13"/>
    <w:rsid w:val="00C20C40"/>
    <w:rsid w:val="00C20CA3"/>
    <w:rsid w:val="00C2103F"/>
    <w:rsid w:val="00C210A6"/>
    <w:rsid w:val="00C214D3"/>
    <w:rsid w:val="00C21545"/>
    <w:rsid w:val="00C21870"/>
    <w:rsid w:val="00C21915"/>
    <w:rsid w:val="00C219F9"/>
    <w:rsid w:val="00C21D84"/>
    <w:rsid w:val="00C21D9C"/>
    <w:rsid w:val="00C221D5"/>
    <w:rsid w:val="00C22490"/>
    <w:rsid w:val="00C226E8"/>
    <w:rsid w:val="00C2273F"/>
    <w:rsid w:val="00C23281"/>
    <w:rsid w:val="00C2413D"/>
    <w:rsid w:val="00C2419D"/>
    <w:rsid w:val="00C2477D"/>
    <w:rsid w:val="00C24E74"/>
    <w:rsid w:val="00C2505C"/>
    <w:rsid w:val="00C251D9"/>
    <w:rsid w:val="00C25432"/>
    <w:rsid w:val="00C255C2"/>
    <w:rsid w:val="00C25749"/>
    <w:rsid w:val="00C25915"/>
    <w:rsid w:val="00C25B9A"/>
    <w:rsid w:val="00C25C9E"/>
    <w:rsid w:val="00C25FC0"/>
    <w:rsid w:val="00C26A67"/>
    <w:rsid w:val="00C26C8E"/>
    <w:rsid w:val="00C270CC"/>
    <w:rsid w:val="00C2728B"/>
    <w:rsid w:val="00C272C4"/>
    <w:rsid w:val="00C27473"/>
    <w:rsid w:val="00C30654"/>
    <w:rsid w:val="00C30843"/>
    <w:rsid w:val="00C30987"/>
    <w:rsid w:val="00C30AFA"/>
    <w:rsid w:val="00C30B58"/>
    <w:rsid w:val="00C30D8E"/>
    <w:rsid w:val="00C30DEB"/>
    <w:rsid w:val="00C30E89"/>
    <w:rsid w:val="00C311D1"/>
    <w:rsid w:val="00C31358"/>
    <w:rsid w:val="00C31439"/>
    <w:rsid w:val="00C31C12"/>
    <w:rsid w:val="00C31E6E"/>
    <w:rsid w:val="00C324FF"/>
    <w:rsid w:val="00C32649"/>
    <w:rsid w:val="00C32704"/>
    <w:rsid w:val="00C328E9"/>
    <w:rsid w:val="00C32A12"/>
    <w:rsid w:val="00C32AF1"/>
    <w:rsid w:val="00C32CBB"/>
    <w:rsid w:val="00C32EC8"/>
    <w:rsid w:val="00C3322C"/>
    <w:rsid w:val="00C3344C"/>
    <w:rsid w:val="00C34A5D"/>
    <w:rsid w:val="00C34D97"/>
    <w:rsid w:val="00C34EAD"/>
    <w:rsid w:val="00C3507E"/>
    <w:rsid w:val="00C35370"/>
    <w:rsid w:val="00C35582"/>
    <w:rsid w:val="00C359E1"/>
    <w:rsid w:val="00C35AC0"/>
    <w:rsid w:val="00C35BCB"/>
    <w:rsid w:val="00C35D94"/>
    <w:rsid w:val="00C35FAE"/>
    <w:rsid w:val="00C362EF"/>
    <w:rsid w:val="00C36605"/>
    <w:rsid w:val="00C36B01"/>
    <w:rsid w:val="00C36BCF"/>
    <w:rsid w:val="00C36C82"/>
    <w:rsid w:val="00C37BB6"/>
    <w:rsid w:val="00C37D0B"/>
    <w:rsid w:val="00C37DBE"/>
    <w:rsid w:val="00C4027A"/>
    <w:rsid w:val="00C40899"/>
    <w:rsid w:val="00C4097C"/>
    <w:rsid w:val="00C40BD7"/>
    <w:rsid w:val="00C40EFB"/>
    <w:rsid w:val="00C40FD6"/>
    <w:rsid w:val="00C41864"/>
    <w:rsid w:val="00C41969"/>
    <w:rsid w:val="00C41CD3"/>
    <w:rsid w:val="00C4238C"/>
    <w:rsid w:val="00C42B7C"/>
    <w:rsid w:val="00C42CCE"/>
    <w:rsid w:val="00C42D07"/>
    <w:rsid w:val="00C434B3"/>
    <w:rsid w:val="00C4364B"/>
    <w:rsid w:val="00C43C5C"/>
    <w:rsid w:val="00C43E0F"/>
    <w:rsid w:val="00C43E12"/>
    <w:rsid w:val="00C443F2"/>
    <w:rsid w:val="00C445C7"/>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3D2D"/>
    <w:rsid w:val="00C6414E"/>
    <w:rsid w:val="00C642B6"/>
    <w:rsid w:val="00C6479D"/>
    <w:rsid w:val="00C64C45"/>
    <w:rsid w:val="00C64EA9"/>
    <w:rsid w:val="00C6509A"/>
    <w:rsid w:val="00C65140"/>
    <w:rsid w:val="00C652F1"/>
    <w:rsid w:val="00C65D22"/>
    <w:rsid w:val="00C65E23"/>
    <w:rsid w:val="00C6660B"/>
    <w:rsid w:val="00C666DD"/>
    <w:rsid w:val="00C66C69"/>
    <w:rsid w:val="00C66CF0"/>
    <w:rsid w:val="00C67029"/>
    <w:rsid w:val="00C6714B"/>
    <w:rsid w:val="00C678DC"/>
    <w:rsid w:val="00C67936"/>
    <w:rsid w:val="00C67C2A"/>
    <w:rsid w:val="00C67C61"/>
    <w:rsid w:val="00C701F5"/>
    <w:rsid w:val="00C70382"/>
    <w:rsid w:val="00C705E4"/>
    <w:rsid w:val="00C70786"/>
    <w:rsid w:val="00C7081B"/>
    <w:rsid w:val="00C70FF3"/>
    <w:rsid w:val="00C7116F"/>
    <w:rsid w:val="00C714C9"/>
    <w:rsid w:val="00C715E0"/>
    <w:rsid w:val="00C71F81"/>
    <w:rsid w:val="00C72E75"/>
    <w:rsid w:val="00C734A5"/>
    <w:rsid w:val="00C7376F"/>
    <w:rsid w:val="00C73B96"/>
    <w:rsid w:val="00C73C80"/>
    <w:rsid w:val="00C73FD8"/>
    <w:rsid w:val="00C7462C"/>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098"/>
    <w:rsid w:val="00C845B7"/>
    <w:rsid w:val="00C858A1"/>
    <w:rsid w:val="00C8600E"/>
    <w:rsid w:val="00C86505"/>
    <w:rsid w:val="00C86F92"/>
    <w:rsid w:val="00C8742E"/>
    <w:rsid w:val="00C87484"/>
    <w:rsid w:val="00C874D1"/>
    <w:rsid w:val="00C876B5"/>
    <w:rsid w:val="00C902AA"/>
    <w:rsid w:val="00C904DF"/>
    <w:rsid w:val="00C9058E"/>
    <w:rsid w:val="00C909AB"/>
    <w:rsid w:val="00C91166"/>
    <w:rsid w:val="00C91540"/>
    <w:rsid w:val="00C9158B"/>
    <w:rsid w:val="00C91703"/>
    <w:rsid w:val="00C9190F"/>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0F"/>
    <w:rsid w:val="00CA1A2F"/>
    <w:rsid w:val="00CA1C75"/>
    <w:rsid w:val="00CA1D01"/>
    <w:rsid w:val="00CA1DB7"/>
    <w:rsid w:val="00CA1F0E"/>
    <w:rsid w:val="00CA2A66"/>
    <w:rsid w:val="00CA2AD6"/>
    <w:rsid w:val="00CA2FBC"/>
    <w:rsid w:val="00CA3229"/>
    <w:rsid w:val="00CA34F9"/>
    <w:rsid w:val="00CA4545"/>
    <w:rsid w:val="00CA474E"/>
    <w:rsid w:val="00CA4884"/>
    <w:rsid w:val="00CA4B14"/>
    <w:rsid w:val="00CA59B8"/>
    <w:rsid w:val="00CA6653"/>
    <w:rsid w:val="00CA6CF5"/>
    <w:rsid w:val="00CA6EE9"/>
    <w:rsid w:val="00CA77E7"/>
    <w:rsid w:val="00CA7FBB"/>
    <w:rsid w:val="00CB0597"/>
    <w:rsid w:val="00CB0687"/>
    <w:rsid w:val="00CB08DC"/>
    <w:rsid w:val="00CB11A7"/>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01E"/>
    <w:rsid w:val="00CB5131"/>
    <w:rsid w:val="00CB5179"/>
    <w:rsid w:val="00CB568D"/>
    <w:rsid w:val="00CB5968"/>
    <w:rsid w:val="00CB6AFC"/>
    <w:rsid w:val="00CB77DC"/>
    <w:rsid w:val="00CB7E6A"/>
    <w:rsid w:val="00CB7ECA"/>
    <w:rsid w:val="00CB7F5E"/>
    <w:rsid w:val="00CC0119"/>
    <w:rsid w:val="00CC0241"/>
    <w:rsid w:val="00CC0568"/>
    <w:rsid w:val="00CC091C"/>
    <w:rsid w:val="00CC0B00"/>
    <w:rsid w:val="00CC10BA"/>
    <w:rsid w:val="00CC11E1"/>
    <w:rsid w:val="00CC1266"/>
    <w:rsid w:val="00CC18C6"/>
    <w:rsid w:val="00CC1AFD"/>
    <w:rsid w:val="00CC29B3"/>
    <w:rsid w:val="00CC2BDE"/>
    <w:rsid w:val="00CC2F9B"/>
    <w:rsid w:val="00CC31EC"/>
    <w:rsid w:val="00CC3C20"/>
    <w:rsid w:val="00CC43B2"/>
    <w:rsid w:val="00CC4D67"/>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803"/>
    <w:rsid w:val="00CE5F7A"/>
    <w:rsid w:val="00CE61A8"/>
    <w:rsid w:val="00CE6E54"/>
    <w:rsid w:val="00CE6F2A"/>
    <w:rsid w:val="00CE713D"/>
    <w:rsid w:val="00CE7A32"/>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698"/>
    <w:rsid w:val="00CF3F6E"/>
    <w:rsid w:val="00CF4C20"/>
    <w:rsid w:val="00CF5159"/>
    <w:rsid w:val="00CF57B2"/>
    <w:rsid w:val="00CF5C7A"/>
    <w:rsid w:val="00CF603F"/>
    <w:rsid w:val="00CF6381"/>
    <w:rsid w:val="00CF67DF"/>
    <w:rsid w:val="00CF68B1"/>
    <w:rsid w:val="00CF6922"/>
    <w:rsid w:val="00CF6C84"/>
    <w:rsid w:val="00CF6D76"/>
    <w:rsid w:val="00CF73A4"/>
    <w:rsid w:val="00CF7747"/>
    <w:rsid w:val="00CF7A36"/>
    <w:rsid w:val="00D00689"/>
    <w:rsid w:val="00D00C59"/>
    <w:rsid w:val="00D0103D"/>
    <w:rsid w:val="00D01244"/>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AA8"/>
    <w:rsid w:val="00D05C75"/>
    <w:rsid w:val="00D05F26"/>
    <w:rsid w:val="00D06063"/>
    <w:rsid w:val="00D06084"/>
    <w:rsid w:val="00D06131"/>
    <w:rsid w:val="00D07346"/>
    <w:rsid w:val="00D07793"/>
    <w:rsid w:val="00D078B3"/>
    <w:rsid w:val="00D079ED"/>
    <w:rsid w:val="00D07ECA"/>
    <w:rsid w:val="00D07F22"/>
    <w:rsid w:val="00D101A8"/>
    <w:rsid w:val="00D10310"/>
    <w:rsid w:val="00D10397"/>
    <w:rsid w:val="00D10855"/>
    <w:rsid w:val="00D10A3A"/>
    <w:rsid w:val="00D10BA1"/>
    <w:rsid w:val="00D10CA1"/>
    <w:rsid w:val="00D10CAE"/>
    <w:rsid w:val="00D1112F"/>
    <w:rsid w:val="00D11669"/>
    <w:rsid w:val="00D1184C"/>
    <w:rsid w:val="00D11856"/>
    <w:rsid w:val="00D11A2C"/>
    <w:rsid w:val="00D11B5D"/>
    <w:rsid w:val="00D11BDF"/>
    <w:rsid w:val="00D11FE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87A"/>
    <w:rsid w:val="00D16623"/>
    <w:rsid w:val="00D16634"/>
    <w:rsid w:val="00D16A40"/>
    <w:rsid w:val="00D16DEC"/>
    <w:rsid w:val="00D16E03"/>
    <w:rsid w:val="00D1715D"/>
    <w:rsid w:val="00D175A9"/>
    <w:rsid w:val="00D17F9A"/>
    <w:rsid w:val="00D2011A"/>
    <w:rsid w:val="00D20494"/>
    <w:rsid w:val="00D20BB8"/>
    <w:rsid w:val="00D214E7"/>
    <w:rsid w:val="00D219E2"/>
    <w:rsid w:val="00D21C1E"/>
    <w:rsid w:val="00D21CA0"/>
    <w:rsid w:val="00D21CD3"/>
    <w:rsid w:val="00D21E8A"/>
    <w:rsid w:val="00D2221E"/>
    <w:rsid w:val="00D2267C"/>
    <w:rsid w:val="00D22895"/>
    <w:rsid w:val="00D23005"/>
    <w:rsid w:val="00D2333E"/>
    <w:rsid w:val="00D23648"/>
    <w:rsid w:val="00D23D0E"/>
    <w:rsid w:val="00D24D9F"/>
    <w:rsid w:val="00D25604"/>
    <w:rsid w:val="00D25B8C"/>
    <w:rsid w:val="00D25FA0"/>
    <w:rsid w:val="00D26981"/>
    <w:rsid w:val="00D26FC2"/>
    <w:rsid w:val="00D270B3"/>
    <w:rsid w:val="00D27135"/>
    <w:rsid w:val="00D2725B"/>
    <w:rsid w:val="00D27DB7"/>
    <w:rsid w:val="00D30DFC"/>
    <w:rsid w:val="00D31D2C"/>
    <w:rsid w:val="00D3264A"/>
    <w:rsid w:val="00D32A6E"/>
    <w:rsid w:val="00D32E8E"/>
    <w:rsid w:val="00D33354"/>
    <w:rsid w:val="00D33404"/>
    <w:rsid w:val="00D33742"/>
    <w:rsid w:val="00D33F14"/>
    <w:rsid w:val="00D34079"/>
    <w:rsid w:val="00D3448F"/>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75F"/>
    <w:rsid w:val="00D42E52"/>
    <w:rsid w:val="00D43AC8"/>
    <w:rsid w:val="00D43C10"/>
    <w:rsid w:val="00D43D05"/>
    <w:rsid w:val="00D44334"/>
    <w:rsid w:val="00D4447C"/>
    <w:rsid w:val="00D44859"/>
    <w:rsid w:val="00D44C91"/>
    <w:rsid w:val="00D456E2"/>
    <w:rsid w:val="00D45A41"/>
    <w:rsid w:val="00D45ADC"/>
    <w:rsid w:val="00D45BFD"/>
    <w:rsid w:val="00D460F1"/>
    <w:rsid w:val="00D46251"/>
    <w:rsid w:val="00D468F2"/>
    <w:rsid w:val="00D469D5"/>
    <w:rsid w:val="00D46C60"/>
    <w:rsid w:val="00D472AF"/>
    <w:rsid w:val="00D4761C"/>
    <w:rsid w:val="00D47C8E"/>
    <w:rsid w:val="00D47FF7"/>
    <w:rsid w:val="00D500BD"/>
    <w:rsid w:val="00D503C0"/>
    <w:rsid w:val="00D50917"/>
    <w:rsid w:val="00D51001"/>
    <w:rsid w:val="00D5101B"/>
    <w:rsid w:val="00D519BB"/>
    <w:rsid w:val="00D51DD0"/>
    <w:rsid w:val="00D5273C"/>
    <w:rsid w:val="00D5351B"/>
    <w:rsid w:val="00D53636"/>
    <w:rsid w:val="00D536EF"/>
    <w:rsid w:val="00D538D4"/>
    <w:rsid w:val="00D538D8"/>
    <w:rsid w:val="00D53B40"/>
    <w:rsid w:val="00D54DBF"/>
    <w:rsid w:val="00D5556B"/>
    <w:rsid w:val="00D55628"/>
    <w:rsid w:val="00D55663"/>
    <w:rsid w:val="00D5594A"/>
    <w:rsid w:val="00D55A51"/>
    <w:rsid w:val="00D56808"/>
    <w:rsid w:val="00D5684A"/>
    <w:rsid w:val="00D56BCF"/>
    <w:rsid w:val="00D56F4B"/>
    <w:rsid w:val="00D57193"/>
    <w:rsid w:val="00D573B4"/>
    <w:rsid w:val="00D5745E"/>
    <w:rsid w:val="00D57B31"/>
    <w:rsid w:val="00D60692"/>
    <w:rsid w:val="00D6071B"/>
    <w:rsid w:val="00D607FB"/>
    <w:rsid w:val="00D60CB6"/>
    <w:rsid w:val="00D60FA5"/>
    <w:rsid w:val="00D610F3"/>
    <w:rsid w:val="00D6110B"/>
    <w:rsid w:val="00D61148"/>
    <w:rsid w:val="00D6183E"/>
    <w:rsid w:val="00D619CF"/>
    <w:rsid w:val="00D61ABC"/>
    <w:rsid w:val="00D61BDD"/>
    <w:rsid w:val="00D61CA4"/>
    <w:rsid w:val="00D6241C"/>
    <w:rsid w:val="00D6249A"/>
    <w:rsid w:val="00D62708"/>
    <w:rsid w:val="00D62B57"/>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5F5"/>
    <w:rsid w:val="00D666A8"/>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012"/>
    <w:rsid w:val="00D747A7"/>
    <w:rsid w:val="00D7587C"/>
    <w:rsid w:val="00D7591E"/>
    <w:rsid w:val="00D75FF5"/>
    <w:rsid w:val="00D765B1"/>
    <w:rsid w:val="00D76776"/>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AA1"/>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8BF"/>
    <w:rsid w:val="00D92B1C"/>
    <w:rsid w:val="00D931C3"/>
    <w:rsid w:val="00D93E1C"/>
    <w:rsid w:val="00D943AD"/>
    <w:rsid w:val="00D949EB"/>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40B"/>
    <w:rsid w:val="00DA2A2F"/>
    <w:rsid w:val="00DA2BA1"/>
    <w:rsid w:val="00DA41DF"/>
    <w:rsid w:val="00DA42A8"/>
    <w:rsid w:val="00DA49C5"/>
    <w:rsid w:val="00DA4A1B"/>
    <w:rsid w:val="00DA4A20"/>
    <w:rsid w:val="00DA4F0F"/>
    <w:rsid w:val="00DA5902"/>
    <w:rsid w:val="00DA6459"/>
    <w:rsid w:val="00DA64FC"/>
    <w:rsid w:val="00DA6961"/>
    <w:rsid w:val="00DA6A1D"/>
    <w:rsid w:val="00DA6F2A"/>
    <w:rsid w:val="00DA70A2"/>
    <w:rsid w:val="00DA7536"/>
    <w:rsid w:val="00DA75D8"/>
    <w:rsid w:val="00DA7A4B"/>
    <w:rsid w:val="00DA7ACC"/>
    <w:rsid w:val="00DB0F93"/>
    <w:rsid w:val="00DB17F5"/>
    <w:rsid w:val="00DB1982"/>
    <w:rsid w:val="00DB19B1"/>
    <w:rsid w:val="00DB1E60"/>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0DE2"/>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B19"/>
    <w:rsid w:val="00DC5F11"/>
    <w:rsid w:val="00DC5FAE"/>
    <w:rsid w:val="00DC62BC"/>
    <w:rsid w:val="00DC62C6"/>
    <w:rsid w:val="00DC6901"/>
    <w:rsid w:val="00DC691A"/>
    <w:rsid w:val="00DC6BD0"/>
    <w:rsid w:val="00DC6C10"/>
    <w:rsid w:val="00DC6E2A"/>
    <w:rsid w:val="00DC71F7"/>
    <w:rsid w:val="00DC7231"/>
    <w:rsid w:val="00DC787B"/>
    <w:rsid w:val="00DC78B2"/>
    <w:rsid w:val="00DD0059"/>
    <w:rsid w:val="00DD0912"/>
    <w:rsid w:val="00DD09DC"/>
    <w:rsid w:val="00DD12E2"/>
    <w:rsid w:val="00DD16E7"/>
    <w:rsid w:val="00DD177B"/>
    <w:rsid w:val="00DD1CBF"/>
    <w:rsid w:val="00DD204C"/>
    <w:rsid w:val="00DD2D60"/>
    <w:rsid w:val="00DD3022"/>
    <w:rsid w:val="00DD319B"/>
    <w:rsid w:val="00DD3361"/>
    <w:rsid w:val="00DD342D"/>
    <w:rsid w:val="00DD37D5"/>
    <w:rsid w:val="00DD38FB"/>
    <w:rsid w:val="00DD397F"/>
    <w:rsid w:val="00DD3A64"/>
    <w:rsid w:val="00DD3D5C"/>
    <w:rsid w:val="00DD4179"/>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F7"/>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849"/>
    <w:rsid w:val="00DE5C57"/>
    <w:rsid w:val="00DE5C5D"/>
    <w:rsid w:val="00DE6C9F"/>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31EE"/>
    <w:rsid w:val="00DF35AC"/>
    <w:rsid w:val="00DF413F"/>
    <w:rsid w:val="00DF41F4"/>
    <w:rsid w:val="00DF439C"/>
    <w:rsid w:val="00DF44B4"/>
    <w:rsid w:val="00DF4642"/>
    <w:rsid w:val="00DF4993"/>
    <w:rsid w:val="00DF4B20"/>
    <w:rsid w:val="00DF4C4D"/>
    <w:rsid w:val="00DF4E4F"/>
    <w:rsid w:val="00DF52EB"/>
    <w:rsid w:val="00DF5489"/>
    <w:rsid w:val="00DF54C2"/>
    <w:rsid w:val="00DF5538"/>
    <w:rsid w:val="00DF58D4"/>
    <w:rsid w:val="00DF5DCE"/>
    <w:rsid w:val="00DF5FCB"/>
    <w:rsid w:val="00DF67BA"/>
    <w:rsid w:val="00DF68B6"/>
    <w:rsid w:val="00DF7419"/>
    <w:rsid w:val="00DF7628"/>
    <w:rsid w:val="00DF7CC3"/>
    <w:rsid w:val="00DF7FED"/>
    <w:rsid w:val="00E00725"/>
    <w:rsid w:val="00E008B2"/>
    <w:rsid w:val="00E00B08"/>
    <w:rsid w:val="00E00D33"/>
    <w:rsid w:val="00E011D4"/>
    <w:rsid w:val="00E01CB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298"/>
    <w:rsid w:val="00E3585C"/>
    <w:rsid w:val="00E35F9D"/>
    <w:rsid w:val="00E3606E"/>
    <w:rsid w:val="00E36617"/>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D34"/>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4BD"/>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462"/>
    <w:rsid w:val="00E74A3E"/>
    <w:rsid w:val="00E74CBF"/>
    <w:rsid w:val="00E74F94"/>
    <w:rsid w:val="00E74FC7"/>
    <w:rsid w:val="00E75FFA"/>
    <w:rsid w:val="00E76018"/>
    <w:rsid w:val="00E764C6"/>
    <w:rsid w:val="00E776DD"/>
    <w:rsid w:val="00E77CAE"/>
    <w:rsid w:val="00E77DDD"/>
    <w:rsid w:val="00E8018B"/>
    <w:rsid w:val="00E80430"/>
    <w:rsid w:val="00E807E2"/>
    <w:rsid w:val="00E812B0"/>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0B0C"/>
    <w:rsid w:val="00E910FD"/>
    <w:rsid w:val="00E915BF"/>
    <w:rsid w:val="00E9176C"/>
    <w:rsid w:val="00E92BD6"/>
    <w:rsid w:val="00E92DEA"/>
    <w:rsid w:val="00E93029"/>
    <w:rsid w:val="00E9381A"/>
    <w:rsid w:val="00E93D98"/>
    <w:rsid w:val="00E9404C"/>
    <w:rsid w:val="00E95021"/>
    <w:rsid w:val="00E95025"/>
    <w:rsid w:val="00E95227"/>
    <w:rsid w:val="00E9542A"/>
    <w:rsid w:val="00E95576"/>
    <w:rsid w:val="00E962AA"/>
    <w:rsid w:val="00E9636B"/>
    <w:rsid w:val="00E96576"/>
    <w:rsid w:val="00E967EB"/>
    <w:rsid w:val="00E96D09"/>
    <w:rsid w:val="00E96FED"/>
    <w:rsid w:val="00E97294"/>
    <w:rsid w:val="00E97776"/>
    <w:rsid w:val="00E979FE"/>
    <w:rsid w:val="00EA08B3"/>
    <w:rsid w:val="00EA09C8"/>
    <w:rsid w:val="00EA0AC5"/>
    <w:rsid w:val="00EA0F13"/>
    <w:rsid w:val="00EA114B"/>
    <w:rsid w:val="00EA1178"/>
    <w:rsid w:val="00EA1449"/>
    <w:rsid w:val="00EA1599"/>
    <w:rsid w:val="00EA1822"/>
    <w:rsid w:val="00EA182F"/>
    <w:rsid w:val="00EA19E3"/>
    <w:rsid w:val="00EA1B6D"/>
    <w:rsid w:val="00EA1BEA"/>
    <w:rsid w:val="00EA1D08"/>
    <w:rsid w:val="00EA1F74"/>
    <w:rsid w:val="00EA2415"/>
    <w:rsid w:val="00EA28ED"/>
    <w:rsid w:val="00EA29DF"/>
    <w:rsid w:val="00EA2D12"/>
    <w:rsid w:val="00EA3073"/>
    <w:rsid w:val="00EA3163"/>
    <w:rsid w:val="00EA3433"/>
    <w:rsid w:val="00EA3498"/>
    <w:rsid w:val="00EA397A"/>
    <w:rsid w:val="00EA3B22"/>
    <w:rsid w:val="00EA3F5A"/>
    <w:rsid w:val="00EA4107"/>
    <w:rsid w:val="00EA4C44"/>
    <w:rsid w:val="00EA4D19"/>
    <w:rsid w:val="00EA4F8A"/>
    <w:rsid w:val="00EA57A3"/>
    <w:rsid w:val="00EA5A7F"/>
    <w:rsid w:val="00EA5C9A"/>
    <w:rsid w:val="00EA63E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3AE"/>
    <w:rsid w:val="00EB74D6"/>
    <w:rsid w:val="00EB7608"/>
    <w:rsid w:val="00EB760C"/>
    <w:rsid w:val="00EB7B06"/>
    <w:rsid w:val="00EC07D1"/>
    <w:rsid w:val="00EC08F4"/>
    <w:rsid w:val="00EC0A69"/>
    <w:rsid w:val="00EC0D4A"/>
    <w:rsid w:val="00EC1A00"/>
    <w:rsid w:val="00EC1C96"/>
    <w:rsid w:val="00EC1D63"/>
    <w:rsid w:val="00EC28C7"/>
    <w:rsid w:val="00EC3971"/>
    <w:rsid w:val="00EC39A2"/>
    <w:rsid w:val="00EC4250"/>
    <w:rsid w:val="00EC446D"/>
    <w:rsid w:val="00EC483B"/>
    <w:rsid w:val="00EC4911"/>
    <w:rsid w:val="00EC50C9"/>
    <w:rsid w:val="00EC51B4"/>
    <w:rsid w:val="00EC5523"/>
    <w:rsid w:val="00EC563C"/>
    <w:rsid w:val="00EC58B4"/>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5AD"/>
    <w:rsid w:val="00ED09D9"/>
    <w:rsid w:val="00ED0C6B"/>
    <w:rsid w:val="00ED0EAE"/>
    <w:rsid w:val="00ED0F86"/>
    <w:rsid w:val="00ED1197"/>
    <w:rsid w:val="00ED12C1"/>
    <w:rsid w:val="00ED1FE7"/>
    <w:rsid w:val="00ED23BA"/>
    <w:rsid w:val="00ED2582"/>
    <w:rsid w:val="00ED2657"/>
    <w:rsid w:val="00ED2A41"/>
    <w:rsid w:val="00ED2EB8"/>
    <w:rsid w:val="00ED34F6"/>
    <w:rsid w:val="00ED35C0"/>
    <w:rsid w:val="00ED3911"/>
    <w:rsid w:val="00ED3BB9"/>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6EA"/>
    <w:rsid w:val="00ED7CF4"/>
    <w:rsid w:val="00ED7D94"/>
    <w:rsid w:val="00EE081C"/>
    <w:rsid w:val="00EE0BDC"/>
    <w:rsid w:val="00EE0CC9"/>
    <w:rsid w:val="00EE10E5"/>
    <w:rsid w:val="00EE1603"/>
    <w:rsid w:val="00EE1A55"/>
    <w:rsid w:val="00EE2153"/>
    <w:rsid w:val="00EE2531"/>
    <w:rsid w:val="00EE274B"/>
    <w:rsid w:val="00EE36B2"/>
    <w:rsid w:val="00EE3A69"/>
    <w:rsid w:val="00EE3D13"/>
    <w:rsid w:val="00EE3D35"/>
    <w:rsid w:val="00EE3EBB"/>
    <w:rsid w:val="00EE4997"/>
    <w:rsid w:val="00EE4AFC"/>
    <w:rsid w:val="00EE5328"/>
    <w:rsid w:val="00EE5F01"/>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9A1"/>
    <w:rsid w:val="00EF1B11"/>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2FFA"/>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5BD"/>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4E04"/>
    <w:rsid w:val="00F15553"/>
    <w:rsid w:val="00F15559"/>
    <w:rsid w:val="00F159B7"/>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6B06"/>
    <w:rsid w:val="00F27198"/>
    <w:rsid w:val="00F271BB"/>
    <w:rsid w:val="00F272C0"/>
    <w:rsid w:val="00F27780"/>
    <w:rsid w:val="00F277A6"/>
    <w:rsid w:val="00F27A37"/>
    <w:rsid w:val="00F27A3F"/>
    <w:rsid w:val="00F27AB5"/>
    <w:rsid w:val="00F27FB4"/>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0FD6"/>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5EC6"/>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0A8A"/>
    <w:rsid w:val="00F7215C"/>
    <w:rsid w:val="00F72873"/>
    <w:rsid w:val="00F72A89"/>
    <w:rsid w:val="00F72AFF"/>
    <w:rsid w:val="00F72CD7"/>
    <w:rsid w:val="00F72DC1"/>
    <w:rsid w:val="00F72F12"/>
    <w:rsid w:val="00F731FF"/>
    <w:rsid w:val="00F733F4"/>
    <w:rsid w:val="00F73B13"/>
    <w:rsid w:val="00F73E79"/>
    <w:rsid w:val="00F73F66"/>
    <w:rsid w:val="00F7433D"/>
    <w:rsid w:val="00F74CA7"/>
    <w:rsid w:val="00F74D16"/>
    <w:rsid w:val="00F74E3B"/>
    <w:rsid w:val="00F74EE1"/>
    <w:rsid w:val="00F751BE"/>
    <w:rsid w:val="00F75223"/>
    <w:rsid w:val="00F75905"/>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87827"/>
    <w:rsid w:val="00F90134"/>
    <w:rsid w:val="00F907C7"/>
    <w:rsid w:val="00F9198D"/>
    <w:rsid w:val="00F91B15"/>
    <w:rsid w:val="00F91B7E"/>
    <w:rsid w:val="00F92016"/>
    <w:rsid w:val="00F925B4"/>
    <w:rsid w:val="00F925F6"/>
    <w:rsid w:val="00F93AA3"/>
    <w:rsid w:val="00F94191"/>
    <w:rsid w:val="00F9432B"/>
    <w:rsid w:val="00F9443B"/>
    <w:rsid w:val="00F94648"/>
    <w:rsid w:val="00F94CA5"/>
    <w:rsid w:val="00F952C5"/>
    <w:rsid w:val="00F953FE"/>
    <w:rsid w:val="00F963E0"/>
    <w:rsid w:val="00F97540"/>
    <w:rsid w:val="00F9777B"/>
    <w:rsid w:val="00F979B0"/>
    <w:rsid w:val="00F97FB0"/>
    <w:rsid w:val="00FA0A5D"/>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5B76"/>
    <w:rsid w:val="00FA6476"/>
    <w:rsid w:val="00FA6A95"/>
    <w:rsid w:val="00FA6E13"/>
    <w:rsid w:val="00FA70CC"/>
    <w:rsid w:val="00FA7316"/>
    <w:rsid w:val="00FA77D4"/>
    <w:rsid w:val="00FA798A"/>
    <w:rsid w:val="00FA7E20"/>
    <w:rsid w:val="00FB0FF2"/>
    <w:rsid w:val="00FB18B5"/>
    <w:rsid w:val="00FB197F"/>
    <w:rsid w:val="00FB238B"/>
    <w:rsid w:val="00FB23DD"/>
    <w:rsid w:val="00FB2830"/>
    <w:rsid w:val="00FB312A"/>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902"/>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9D"/>
    <w:rsid w:val="00FC4DDB"/>
    <w:rsid w:val="00FC51A3"/>
    <w:rsid w:val="00FC5353"/>
    <w:rsid w:val="00FC539A"/>
    <w:rsid w:val="00FC57CC"/>
    <w:rsid w:val="00FC5DF3"/>
    <w:rsid w:val="00FC5F6D"/>
    <w:rsid w:val="00FC6457"/>
    <w:rsid w:val="00FC66C1"/>
    <w:rsid w:val="00FC6703"/>
    <w:rsid w:val="00FC6BA8"/>
    <w:rsid w:val="00FC7248"/>
    <w:rsid w:val="00FD0F80"/>
    <w:rsid w:val="00FD1149"/>
    <w:rsid w:val="00FD19A1"/>
    <w:rsid w:val="00FD2043"/>
    <w:rsid w:val="00FD20F4"/>
    <w:rsid w:val="00FD245D"/>
    <w:rsid w:val="00FD259E"/>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2CA7"/>
    <w:rsid w:val="00FE309E"/>
    <w:rsid w:val="00FE3133"/>
    <w:rsid w:val="00FE31A3"/>
    <w:rsid w:val="00FE31B9"/>
    <w:rsid w:val="00FE3474"/>
    <w:rsid w:val="00FE3716"/>
    <w:rsid w:val="00FE37FF"/>
    <w:rsid w:val="00FE389E"/>
    <w:rsid w:val="00FE449C"/>
    <w:rsid w:val="00FE4949"/>
    <w:rsid w:val="00FE4B78"/>
    <w:rsid w:val="00FE4B9D"/>
    <w:rsid w:val="00FE55DF"/>
    <w:rsid w:val="00FE560D"/>
    <w:rsid w:val="00FE5641"/>
    <w:rsid w:val="00FE5A58"/>
    <w:rsid w:val="00FE5CAA"/>
    <w:rsid w:val="00FE6830"/>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1B8"/>
    <w:rsid w:val="00FF34E6"/>
    <w:rsid w:val="00FF3625"/>
    <w:rsid w:val="00FF36AA"/>
    <w:rsid w:val="00FF3D9F"/>
    <w:rsid w:val="00FF4055"/>
    <w:rsid w:val="00FF4786"/>
    <w:rsid w:val="00FF4BA5"/>
    <w:rsid w:val="00FF4D59"/>
    <w:rsid w:val="00FF5169"/>
    <w:rsid w:val="00FF5328"/>
    <w:rsid w:val="00FF5399"/>
    <w:rsid w:val="00FF5454"/>
    <w:rsid w:val="00FF58A7"/>
    <w:rsid w:val="00FF5A85"/>
    <w:rsid w:val="00FF6263"/>
    <w:rsid w:val="00FF6A50"/>
    <w:rsid w:val="00FF6D0F"/>
    <w:rsid w:val="00FF74EF"/>
    <w:rsid w:val="00FF75FD"/>
    <w:rsid w:val="00FF786F"/>
    <w:rsid w:val="00FF7CC7"/>
    <w:rsid w:val="04CAE56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54AD7291"/>
  <w15:docId w15:val="{FE30D3C1-8D6D-4C84-9D24-E8321CDC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B2A9" w:themeColor="text2"/>
        <w:bottom w:val="single" w:sz="8" w:space="0" w:color="00B2A9" w:themeColor="text2"/>
        <w:insideH w:val="single" w:sz="8" w:space="0" w:color="00B2A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B2A9" w:themeFill="text2"/>
      </w:tcPr>
    </w:tblStylePr>
    <w:tblStylePr w:type="lastRow">
      <w:rPr>
        <w:b w:val="0"/>
      </w:rPr>
    </w:tblStylePr>
    <w:tblStylePr w:type="lastCol">
      <w:pPr>
        <w:jc w:val="left"/>
      </w:pPr>
    </w:tblStylePr>
    <w:tblStylePr w:type="band1Vert">
      <w:tblPr/>
      <w:tcPr>
        <w:shd w:val="clear" w:color="auto" w:fill="E5F7F6"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B2A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B2A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B2A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B2A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B2A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B2A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7F6"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7F6"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B2A9" w:themeColor="text2"/>
        <w:left w:val="single" w:sz="4" w:space="0" w:color="00B2A9" w:themeColor="text2"/>
        <w:bottom w:val="single" w:sz="4" w:space="0" w:color="00B2A9" w:themeColor="text2"/>
        <w:right w:val="single" w:sz="4" w:space="0" w:color="00B2A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B2A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B2A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123A88"/>
    <w:pPr>
      <w:spacing w:line="240" w:lineRule="auto"/>
    </w:pPr>
    <w:rPr>
      <w:color w:val="FFFFFF"/>
      <w:sz w:val="24"/>
    </w:rPr>
    <w:tblPr>
      <w:tblCellMar>
        <w:top w:w="227" w:type="dxa"/>
        <w:left w:w="0" w:type="dxa"/>
        <w:bottom w:w="227" w:type="dxa"/>
        <w:right w:w="0" w:type="dxa"/>
      </w:tblCellMar>
    </w:tblPr>
    <w:tcPr>
      <w:shd w:val="clear" w:color="auto" w:fill="00B2A9"/>
    </w:tcPr>
  </w:style>
  <w:style w:type="paragraph" w:customStyle="1" w:styleId="BodyText100ThemeColour">
    <w:name w:val="Body Text 100% Theme Colour"/>
    <w:basedOn w:val="BodyText"/>
    <w:qFormat/>
    <w:rsid w:val="00096B2D"/>
    <w:rPr>
      <w:color w:val="00B2A9"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00B2A9" w:themeColor="text2"/>
      <w:kern w:val="32"/>
      <w:sz w:val="40"/>
      <w:szCs w:val="32"/>
    </w:rPr>
  </w:style>
  <w:style w:type="character" w:customStyle="1" w:styleId="Heading2Char">
    <w:name w:val="Heading 2 Char"/>
    <w:basedOn w:val="DefaultParagraphFont"/>
    <w:link w:val="Heading2"/>
    <w:rsid w:val="001306D2"/>
    <w:rPr>
      <w:b/>
      <w:bCs/>
      <w:iCs/>
      <w:color w:val="00B2A9"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styleId="UnresolvedMention">
    <w:name w:val="Unresolved Mention"/>
    <w:basedOn w:val="DefaultParagraphFont"/>
    <w:uiPriority w:val="99"/>
    <w:semiHidden/>
    <w:unhideWhenUsed/>
    <w:rsid w:val="006F40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5265">
      <w:bodyDiv w:val="1"/>
      <w:marLeft w:val="0"/>
      <w:marRight w:val="0"/>
      <w:marTop w:val="0"/>
      <w:marBottom w:val="0"/>
      <w:divBdr>
        <w:top w:val="none" w:sz="0" w:space="0" w:color="auto"/>
        <w:left w:val="none" w:sz="0" w:space="0" w:color="auto"/>
        <w:bottom w:val="none" w:sz="0" w:space="0" w:color="auto"/>
        <w:right w:val="none" w:sz="0" w:space="0" w:color="auto"/>
      </w:divBdr>
    </w:div>
    <w:div w:id="220411670">
      <w:bodyDiv w:val="1"/>
      <w:marLeft w:val="0"/>
      <w:marRight w:val="0"/>
      <w:marTop w:val="0"/>
      <w:marBottom w:val="0"/>
      <w:divBdr>
        <w:top w:val="none" w:sz="0" w:space="0" w:color="auto"/>
        <w:left w:val="none" w:sz="0" w:space="0" w:color="auto"/>
        <w:bottom w:val="none" w:sz="0" w:space="0" w:color="auto"/>
        <w:right w:val="none" w:sz="0" w:space="0" w:color="auto"/>
      </w:divBdr>
    </w:div>
    <w:div w:id="245185864">
      <w:bodyDiv w:val="1"/>
      <w:marLeft w:val="0"/>
      <w:marRight w:val="0"/>
      <w:marTop w:val="0"/>
      <w:marBottom w:val="0"/>
      <w:divBdr>
        <w:top w:val="none" w:sz="0" w:space="0" w:color="auto"/>
        <w:left w:val="none" w:sz="0" w:space="0" w:color="auto"/>
        <w:bottom w:val="none" w:sz="0" w:space="0" w:color="auto"/>
        <w:right w:val="none" w:sz="0" w:space="0" w:color="auto"/>
      </w:divBdr>
    </w:div>
    <w:div w:id="265578626">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83634719">
      <w:bodyDiv w:val="1"/>
      <w:marLeft w:val="0"/>
      <w:marRight w:val="0"/>
      <w:marTop w:val="0"/>
      <w:marBottom w:val="0"/>
      <w:divBdr>
        <w:top w:val="none" w:sz="0" w:space="0" w:color="auto"/>
        <w:left w:val="none" w:sz="0" w:space="0" w:color="auto"/>
        <w:bottom w:val="none" w:sz="0" w:space="0" w:color="auto"/>
        <w:right w:val="none" w:sz="0" w:space="0" w:color="auto"/>
      </w:divBdr>
    </w:div>
    <w:div w:id="1031684284">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57279508">
      <w:bodyDiv w:val="1"/>
      <w:marLeft w:val="0"/>
      <w:marRight w:val="0"/>
      <w:marTop w:val="0"/>
      <w:marBottom w:val="0"/>
      <w:divBdr>
        <w:top w:val="none" w:sz="0" w:space="0" w:color="auto"/>
        <w:left w:val="none" w:sz="0" w:space="0" w:color="auto"/>
        <w:bottom w:val="none" w:sz="0" w:space="0" w:color="auto"/>
        <w:right w:val="none" w:sz="0" w:space="0" w:color="auto"/>
      </w:divBdr>
    </w:div>
    <w:div w:id="1586379268">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apps.who.int/iris/bitstream/handle/10665/276405/9789241514972-eng.pdf" TargetMode="External"/><Relationship Id="rId1" Type="http://schemas.openxmlformats.org/officeDocument/2006/relationships/hyperlink" Target="https://www.ipcc.ch/sr15/"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ct:contentTypeSchema xmlns:ct="http://schemas.microsoft.com/office/2006/metadata/contentType" xmlns:ma="http://schemas.microsoft.com/office/2006/metadata/properties/metaAttributes" ct:_="" ma:_="" ma:contentTypeName="Research Report" ma:contentTypeID="0x0101002517F445A0F35E449C98AAD631F2B038451B007A87737A6B671E4685F9372923F735BA" ma:contentTypeVersion="9" ma:contentTypeDescription="Includes all technical, academic and scientific reports resultant from research projects, and/or academic studies and papers - DELWP" ma:contentTypeScope="" ma:versionID="6ec0b5d6c4f4d30e39cfc715aee3b2c9">
  <xsd:schema xmlns:xsd="http://www.w3.org/2001/XMLSchema" xmlns:xs="http://www.w3.org/2001/XMLSchema" xmlns:p="http://schemas.microsoft.com/office/2006/metadata/properties" xmlns:ns1="a5f32de4-e402-4188-b034-e71ca7d22e54" xmlns:ns2="http://schemas.microsoft.com/sharepoint/v3" xmlns:ns3="9fd47c19-1c4a-4d7d-b342-c10cef269344" xmlns:ns4="1e301197-9569-433a-a6aa-6e5956b0e0a8" xmlns:ns5="20693135-7622-4a29-9057-007c37190d60" targetNamespace="http://schemas.microsoft.com/office/2006/metadata/properties" ma:root="true" ma:fieldsID="0e234a4781778b75d0d4e1c832bd562c" ns1:_="" ns2:_="" ns3:_="" ns4:_="" ns5:_="">
    <xsd:import namespace="a5f32de4-e402-4188-b034-e71ca7d22e54"/>
    <xsd:import namespace="http://schemas.microsoft.com/sharepoint/v3"/>
    <xsd:import namespace="9fd47c19-1c4a-4d7d-b342-c10cef269344"/>
    <xsd:import namespace="1e301197-9569-433a-a6aa-6e5956b0e0a8"/>
    <xsd:import namespace="20693135-7622-4a29-9057-007c37190d60"/>
    <xsd:element name="properties">
      <xsd:complexType>
        <xsd:sequence>
          <xsd:element name="documentManagement">
            <xsd:complexType>
              <xsd:all>
                <xsd:element ref="ns1:_dlc_DocIdUrl" minOccurs="0"/>
                <xsd:element ref="ns1:_dlc_DocId" minOccurs="0"/>
                <xsd:element ref="ns2:RoutingRuleDescription" minOccurs="0"/>
                <xsd:element ref="ns1:Reference_x0020_Number" minOccurs="0"/>
                <xsd:element ref="ns1:Date_x0020_Recieved" minOccurs="0"/>
                <xsd:element ref="ns1:Originating_x0020_Author" minOccurs="0"/>
                <xsd:element ref="ns1:Location_x0020_Value" minOccurs="0"/>
                <xsd:element ref="ns2:URL" minOccurs="0"/>
                <xsd:element ref="ns2:Language"/>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_dlc_DocIdPersistId" minOccurs="0"/>
                <xsd:element ref="ns3:ld508a88e6264ce89693af80a72862cb" minOccurs="0"/>
                <xsd:element ref="ns3:pd01c257034b4e86b1f58279a3bd54c6" minOccurs="0"/>
                <xsd:element ref="ns3:k1bd994a94c2413797db3bab8f123f6f" minOccurs="0"/>
                <xsd:element ref="ns3:o2e611f6ba3e4c8f9a895dfb7980639e" minOccurs="0"/>
                <xsd:element ref="ns3:a25c4e3633654d669cbaa09ae6b70789" minOccurs="0"/>
                <xsd:element ref="ns3:mfe9accc5a0b4653a7b513b67ffd122d" minOccurs="0"/>
                <xsd:element ref="ns1:Financial_x0020_Year" minOccurs="0"/>
                <xsd:element ref="ns4:ef3312f2dcb146a9b54d6cf1899b2e61" minOccurs="0"/>
                <xsd:element ref="ns5:c4b9ce9f2b104671bf4a253bef49ccb9"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Reference_x0020_Number" ma:index="5" nillable="true" ma:displayName="Reference Number" ma:internalName="Reference_x0020_Number">
      <xsd:simpleType>
        <xsd:restriction base="dms:Text">
          <xsd:maxLength value="255"/>
        </xsd:restriction>
      </xsd:simpleType>
    </xsd:element>
    <xsd:element name="Date_x0020_Recieved" ma:index="7" nillable="true" ma:displayName="Date Received" ma:description="The date stamped on official correspondence." ma:format="DateOnly" ma:internalName="Date_x0020_Recieved">
      <xsd:simpleType>
        <xsd:restriction base="dms:DateTime"/>
      </xsd:simpleType>
    </xsd:element>
    <xsd:element name="Originating_x0020_Author" ma:index="8" nillable="true" ma:displayName="Originating Author" ma:description="The original person or organisation from which the object came from." ma:internalName="Originating_x0020_Author">
      <xsd:simpleType>
        <xsd:restriction base="dms:Text">
          <xsd:maxLength value="255"/>
        </xsd:restriction>
      </xsd:simpleType>
    </xsd:element>
    <xsd:element name="Location_x0020_Value" ma:index="10" nillable="true" ma:displayName="Location Value" ma:internalName="Location_x0020_Value">
      <xsd:simpleType>
        <xsd:restriction base="dms:Text">
          <xsd:maxLength value="255"/>
        </xsd:restriction>
      </xsd:simpleType>
    </xsd:element>
    <xsd:element name="_dlc_DocIdPersistId" ma:index="31" nillable="true" ma:displayName="Persist ID" ma:description="Keep ID on add." ma:hidden="true" ma:internalName="_dlc_DocIdPersistId" ma:readOnly="true">
      <xsd:simpleType>
        <xsd:restriction base="dms:Boolean"/>
      </xsd:simpleType>
    </xsd:element>
    <xsd:element name="Financial_x0020_Year" ma:index="40" nillable="true" ma:displayName="Financial Year" ma:format="Dropdown" ma:internalName="Financial_x0020_Year" ma:readOnly="false">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Language" ma:index="20"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Category" ma:index="45" nillable="true" ma:displayName="Category" ma:default="(2) Category2" ma:internalName="Category">
      <xsd:simpleType>
        <xsd:restriction base="dms:Choice">
          <xsd:enumeration value="(1) Category1"/>
          <xsd:enumeration value="(2) Category2"/>
          <xsd:enumeration value="(3) Category3"/>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43e1c2c-ffa2-49b8-81e6-f4f0351dd2e1}" ma:internalName="TaxCatchAll" ma:showField="CatchAllData" ma:web="1e301197-9569-433a-a6aa-6e5956b0e0a8">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43e1c2c-ffa2-49b8-81e6-f4f0351dd2e1}" ma:internalName="TaxCatchAllLabel" ma:readOnly="true" ma:showField="CatchAllDataLabel" ma:web="1e301197-9569-433a-a6aa-6e5956b0e0a8">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Corporate Services|583021de-5b88-4fc0-9d26-f0e13a42b826"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9;#Strategy and Performance|94e14022-adcf-4c64-ac06-14f905c87fe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ld508a88e6264ce89693af80a72862cb" ma:index="32" nillable="true" ma:taxonomy="true" ma:internalName="ld508a88e6264ce89693af80a72862cb" ma:taxonomyFieldName="Reference_x0020_Type" ma:displayName="Reference Type" ma:default="" ma:fieldId="{5d508a88-e626-4ce8-9693-af80a72862cb}" ma:sspId="797aeec6-0273-40f2-ab3e-beee73212332" ma:termSetId="11043c92-3a71-4a36-852c-b5b476b0493f" ma:anchorId="00000000-0000-0000-0000-000000000000" ma:open="false" ma:isKeyword="false">
      <xsd:complexType>
        <xsd:sequence>
          <xsd:element ref="pc:Terms" minOccurs="0" maxOccurs="1"/>
        </xsd:sequence>
      </xsd:complexType>
    </xsd:element>
    <xsd:element name="pd01c257034b4e86b1f58279a3bd54c6" ma:index="33"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k1bd994a94c2413797db3bab8f123f6f" ma:index="3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o2e611f6ba3e4c8f9a895dfb7980639e" ma:index="36" nillable="true" ma:taxonomy="true" ma:internalName="o2e611f6ba3e4c8f9a895dfb7980639e" ma:taxonomyFieldName="Location_x0020_Type" ma:displayName="Location Type" ma:default="" ma:fieldId="{82e611f6-ba3e-4c8f-9a89-5dfb7980639e}" ma:sspId="797aeec6-0273-40f2-ab3e-beee73212332" ma:termSetId="648a561f-e369-4e31-b869-87da18c5c4f1" ma:anchorId="00000000-0000-0000-0000-000000000000" ma:open="false" ma:isKeyword="false">
      <xsd:complexType>
        <xsd:sequence>
          <xsd:element ref="pc:Terms" minOccurs="0" maxOccurs="1"/>
        </xsd:sequence>
      </xsd:complexType>
    </xsd:element>
    <xsd:element name="a25c4e3633654d669cbaa09ae6b70789" ma:index="37"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39" ma:taxonomy="true" ma:internalName="mfe9accc5a0b4653a7b513b67ffd122d" ma:taxonomyFieldName="Branch" ma:displayName="Branch" ma:default="11;#Strategic Policy, Economics and Integration|77b2b899-7879-493c-9a72-599ebbd32651"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301197-9569-433a-a6aa-6e5956b0e0a8" elementFormDefault="qualified">
    <xsd:import namespace="http://schemas.microsoft.com/office/2006/documentManagement/types"/>
    <xsd:import namespace="http://schemas.microsoft.com/office/infopath/2007/PartnerControls"/>
    <xsd:element name="ef3312f2dcb146a9b54d6cf1899b2e61" ma:index="42" nillable="true" ma:taxonomy="true" ma:internalName="ef3312f2dcb146a9b54d6cf1899b2e61" ma:taxonomyFieldName="Economic_x0020_Doc_x0020_Type" ma:displayName="Economic Doc Type" ma:default="" ma:fieldId="{ef3312f2-dcb1-46a9-b54d-6cf1899b2e61}" ma:sspId="797aeec6-0273-40f2-ab3e-beee73212332" ma:termSetId="74be3ac2-2e89-4f9c-bc7b-5fc9969c125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693135-7622-4a29-9057-007c37190d60" elementFormDefault="qualified">
    <xsd:import namespace="http://schemas.microsoft.com/office/2006/documentManagement/types"/>
    <xsd:import namespace="http://schemas.microsoft.com/office/infopath/2007/PartnerControls"/>
    <xsd:element name="c4b9ce9f2b104671bf4a253bef49ccb9" ma:index="44" nillable="true" ma:taxonomy="true" ma:internalName="c4b9ce9f2b104671bf4a253bef49ccb9" ma:taxonomyFieldName="Project_x0020_Name" ma:displayName="Project Name" ma:default="" ma:fieldId="{c4b9ce9f-2b10-4671-bf4a-253bef49ccb9}" ma:sspId="797aeec6-0273-40f2-ab3e-beee73212332" ma:termSetId="1f4a4767-3d0c-48fd-b39b-7fbab83e98f1" ma:anchorId="50761012-c054-4cd0-b6e2-6c3c27748cdc"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7aeec6-0273-40f2-ab3e-beee73212332" ContentTypeId="0x0101002517F445A0F35E449C98AAD631F2B038451B" PreviousValue="false"/>
</file>

<file path=customXml/item6.xml><?xml version="1.0" encoding="utf-8"?>
<p:properties xmlns:p="http://schemas.microsoft.com/office/2006/metadata/properties" xmlns:xsi="http://www.w3.org/2001/XMLSchema-instance" xmlns:pc="http://schemas.microsoft.com/office/infopath/2007/PartnerControls">
  <documentManagement>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DOCID535-960541369-58</_dlc_DocId>
    <TaxCatchAll xmlns="9fd47c19-1c4a-4d7d-b342-c10cef269344">
      <Value>37</Value>
      <Value>11</Value>
      <Value>9</Value>
      <Value>36</Value>
      <Value>6</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Corporate Services</TermName>
          <TermId xmlns="http://schemas.microsoft.com/office/infopath/2007/PartnerControls">583021de-5b88-4fc0-9d26-f0e13a42b826</TermId>
        </TermInfo>
      </Terms>
    </ic50d0a05a8e4d9791dac67f8a1e716c>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Strategy and Performance</TermName>
          <TermId xmlns="http://schemas.microsoft.com/office/infopath/2007/PartnerControls">94e14022-adcf-4c64-ac06-14f905c87fe8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Policy, Economics and Integration</TermName>
          <TermId xmlns="http://schemas.microsoft.com/office/infopath/2007/PartnerControls">77b2b899-7879-493c-9a72-599ebbd32651</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https://delwpvicgovau.sharepoint.com/sites/ecm_535/_layouts/15/DocIdRedir.aspx?ID=DOCID535-960541369-58</Url>
      <Description>DOCID535-960541369-58</Description>
    </_dlc_DocIdUrl>
    <Language xmlns="http://schemas.microsoft.com/sharepoint/v3">English</Language>
    <k1bd994a94c2413797db3bab8f123f6f xmlns="9fd47c19-1c4a-4d7d-b342-c10cef269344">
      <Terms xmlns="http://schemas.microsoft.com/office/infopath/2007/PartnerControls"/>
    </k1bd994a94c2413797db3bab8f123f6f>
    <RoutingRuleDescription xmlns="http://schemas.microsoft.com/sharepoint/v3">Prepared to inform the Interim Targets Expert Panel advice</RoutingRuleDescription>
    <a25c4e3633654d669cbaa09ae6b70789 xmlns="9fd47c19-1c4a-4d7d-b342-c10cef269344">
      <Terms xmlns="http://schemas.microsoft.com/office/infopath/2007/PartnerControls"/>
    </a25c4e3633654d669cbaa09ae6b70789>
    <Financial_x0020_Year xmlns="a5f32de4-e402-4188-b034-e71ca7d22e54">2018-19</Financial_x0020_Year>
    <ef3312f2dcb146a9b54d6cf1899b2e61 xmlns="1e301197-9569-433a-a6aa-6e5956b0e0a8">
      <Terms xmlns="http://schemas.microsoft.com/office/infopath/2007/PartnerControls">
        <TermInfo xmlns="http://schemas.microsoft.com/office/infopath/2007/PartnerControls">
          <TermName xmlns="http://schemas.microsoft.com/office/infopath/2007/PartnerControls">Economic research</TermName>
          <TermId xmlns="http://schemas.microsoft.com/office/infopath/2007/PartnerControls">cae649d8-698a-43c0-8501-7a582e8b2891</TermId>
        </TermInfo>
      </Terms>
    </ef3312f2dcb146a9b54d6cf1899b2e61>
    <c4b9ce9f2b104671bf4a253bef49ccb9 xmlns="20693135-7622-4a29-9057-007c37190d60">
      <Terms xmlns="http://schemas.microsoft.com/office/infopath/2007/PartnerControls">
        <TermInfo xmlns="http://schemas.microsoft.com/office/infopath/2007/PartnerControls">
          <TermName xmlns="http://schemas.microsoft.com/office/infopath/2007/PartnerControls">Health Co-benefits</TermName>
          <TermId xmlns="http://schemas.microsoft.com/office/infopath/2007/PartnerControls">505464dc-44e8-4047-82c1-2d63e2f616f3</TermId>
        </TermInfo>
      </Terms>
    </c4b9ce9f2b104671bf4a253bef49ccb9>
    <Originating_x0020_Author xmlns="a5f32de4-e402-4188-b034-e71ca7d22e54" xsi:nil="true"/>
    <Category xmlns="http://schemas.microsoft.com/sharepoint/v3">(2) Category2</Category>
    <o2e611f6ba3e4c8f9a895dfb7980639e xmlns="9fd47c19-1c4a-4d7d-b342-c10cef269344">
      <Terms xmlns="http://schemas.microsoft.com/office/infopath/2007/PartnerControls"/>
    </o2e611f6ba3e4c8f9a895dfb7980639e>
    <Reference_x0020_Number xmlns="a5f32de4-e402-4188-b034-e71ca7d22e54" xsi:nil="true"/>
    <Location_x0020_Value xmlns="a5f32de4-e402-4188-b034-e71ca7d22e54" xsi:nil="true"/>
    <URL xmlns="http://schemas.microsoft.com/sharepoint/v3">
      <Url xsi:nil="true"/>
      <Description xsi:nil="true"/>
    </URL>
    <Date_x0020_Recieved xmlns="a5f32de4-e402-4188-b034-e71ca7d22e54" xsi:nil="true"/>
    <ld508a88e6264ce89693af80a72862cb xmlns="9fd47c19-1c4a-4d7d-b342-c10cef269344">
      <Terms xmlns="http://schemas.microsoft.com/office/infopath/2007/PartnerControls"/>
    </ld508a88e6264ce89693af80a72862cb>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7A04F-F870-49E8-887F-2CB64B6FE1E0}">
  <ds:schemaRefs>
    <ds:schemaRef ds:uri="http://schemas.microsoft.com/office/2006/metadata/customXsn"/>
  </ds:schemaRefs>
</ds:datastoreItem>
</file>

<file path=customXml/itemProps2.xml><?xml version="1.0" encoding="utf-8"?>
<ds:datastoreItem xmlns:ds="http://schemas.openxmlformats.org/officeDocument/2006/customXml" ds:itemID="{8B01B789-01D1-4F24-982E-BEEE33C61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1e301197-9569-433a-a6aa-6e5956b0e0a8"/>
    <ds:schemaRef ds:uri="20693135-7622-4a29-9057-007c37190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92A19-E818-476A-AF53-34923E6AA724}">
  <ds:schemaRefs>
    <ds:schemaRef ds:uri="http://schemas.microsoft.com/sharepoint/v3/contenttype/forms"/>
  </ds:schemaRefs>
</ds:datastoreItem>
</file>

<file path=customXml/itemProps4.xml><?xml version="1.0" encoding="utf-8"?>
<ds:datastoreItem xmlns:ds="http://schemas.openxmlformats.org/officeDocument/2006/customXml" ds:itemID="{11577F2E-AEC6-465F-B236-8C3E3FC426A0}">
  <ds:schemaRefs>
    <ds:schemaRef ds:uri="http://schemas.microsoft.com/sharepoint/events"/>
  </ds:schemaRefs>
</ds:datastoreItem>
</file>

<file path=customXml/itemProps5.xml><?xml version="1.0" encoding="utf-8"?>
<ds:datastoreItem xmlns:ds="http://schemas.openxmlformats.org/officeDocument/2006/customXml" ds:itemID="{931213B1-3714-4B5B-AB1B-F2D7D434232B}">
  <ds:schemaRefs>
    <ds:schemaRef ds:uri="Microsoft.SharePoint.Taxonomy.ContentTypeSync"/>
  </ds:schemaRefs>
</ds:datastoreItem>
</file>

<file path=customXml/itemProps6.xml><?xml version="1.0" encoding="utf-8"?>
<ds:datastoreItem xmlns:ds="http://schemas.openxmlformats.org/officeDocument/2006/customXml" ds:itemID="{671905FD-E7A5-421F-882B-CED4CBD06498}">
  <ds:schemaRefs>
    <ds:schemaRef ds:uri="1e301197-9569-433a-a6aa-6e5956b0e0a8"/>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0693135-7622-4a29-9057-007c37190d60"/>
    <ds:schemaRef ds:uri="http://purl.org/dc/elements/1.1/"/>
    <ds:schemaRef ds:uri="http://schemas.microsoft.com/office/2006/metadata/properties"/>
    <ds:schemaRef ds:uri="9fd47c19-1c4a-4d7d-b342-c10cef269344"/>
    <ds:schemaRef ds:uri="http://schemas.microsoft.com/sharepoint/v3"/>
    <ds:schemaRef ds:uri="a5f32de4-e402-4188-b034-e71ca7d22e54"/>
    <ds:schemaRef ds:uri="http://www.w3.org/XML/1998/namespace"/>
    <ds:schemaRef ds:uri="http://purl.org/dc/dcmitype/"/>
  </ds:schemaRefs>
</ds:datastoreItem>
</file>

<file path=customXml/itemProps7.xml><?xml version="1.0" encoding="utf-8"?>
<ds:datastoreItem xmlns:ds="http://schemas.openxmlformats.org/officeDocument/2006/customXml" ds:itemID="{91984F8D-89EF-4C6C-9D56-73CEDEE6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4259</Words>
  <Characters>24280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Health costs of air pollution (publishable version)</vt:lpstr>
    </vt:vector>
  </TitlesOfParts>
  <Company/>
  <LinksUpToDate>false</LinksUpToDate>
  <CharactersWithSpaces>28483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costs of air pollution (publishable version)</dc:title>
  <dc:subject/>
  <dc:creator>Louise Prossor (DELWP)</dc:creator>
  <cp:keywords/>
  <dc:description/>
  <cp:lastModifiedBy>Anna P Drutschinin (DELWP)</cp:lastModifiedBy>
  <cp:revision>3</cp:revision>
  <cp:lastPrinted>2018-12-04T07:01:00Z</cp:lastPrinted>
  <dcterms:created xsi:type="dcterms:W3CDTF">2019-05-08T04:17:00Z</dcterms:created>
  <dcterms:modified xsi:type="dcterms:W3CDTF">2019-05-09T07:44:00Z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Agency">
    <vt:lpwstr>1;#Department of Environment, Land, Water and Planning|607a3f87-1228-4cd9-82a5-076aa8776274</vt:lpwstr>
  </property>
  <property fmtid="{D5CDD505-2E9C-101B-9397-08002B2CF9AE}" pid="19" name="Branch">
    <vt:lpwstr>11;#Strategic Policy, Economics and Integration|77b2b899-7879-493c-9a72-599ebbd32651</vt:lpwstr>
  </property>
  <property fmtid="{D5CDD505-2E9C-101B-9397-08002B2CF9AE}" pid="20" name="ContentTypeId">
    <vt:lpwstr>0x0101002517F445A0F35E449C98AAD631F2B038451B007A87737A6B671E4685F9372923F735BA</vt:lpwstr>
  </property>
  <property fmtid="{D5CDD505-2E9C-101B-9397-08002B2CF9AE}" pid="21" name="_dlc_DocIdItemGuid">
    <vt:lpwstr>5fe43f75-4430-477a-82ee-7a1dace6aaae</vt:lpwstr>
  </property>
  <property fmtid="{D5CDD505-2E9C-101B-9397-08002B2CF9AE}" pid="22" name="Division">
    <vt:lpwstr>9;#Strategy and Performance|94e14022-adcf-4c64-ac06-14f905c87fe8</vt:lpwstr>
  </property>
  <property fmtid="{D5CDD505-2E9C-101B-9397-08002B2CF9AE}" pid="23" name="Group1">
    <vt:lpwstr>6;#Corporate Services|583021de-5b88-4fc0-9d26-f0e13a42b826</vt:lpwstr>
  </property>
  <property fmtid="{D5CDD505-2E9C-101B-9397-08002B2CF9AE}" pid="24" name="Dissemination Limiting Marker">
    <vt:lpwstr>3;#FOUO|955eb6fc-b35a-4808-8aa5-31e514fa3f26</vt:lpwstr>
  </property>
  <property fmtid="{D5CDD505-2E9C-101B-9397-08002B2CF9AE}" pid="25" name="Security Classification">
    <vt:lpwstr>2;#Unclassified|7fa379f4-4aba-4692-ab80-7d39d3a23cf4</vt:lpwstr>
  </property>
  <property fmtid="{D5CDD505-2E9C-101B-9397-08002B2CF9AE}" pid="26" name="SharedWithUsers">
    <vt:lpwstr>270;#Louise Prossor (DELWP)</vt:lpwstr>
  </property>
  <property fmtid="{D5CDD505-2E9C-101B-9397-08002B2CF9AE}" pid="27" name="Section">
    <vt:lpwstr/>
  </property>
  <property fmtid="{D5CDD505-2E9C-101B-9397-08002B2CF9AE}" pid="28" name="Sub-Section">
    <vt:lpwstr/>
  </property>
  <property fmtid="{D5CDD505-2E9C-101B-9397-08002B2CF9AE}" pid="29" name="AuthorIds_UIVersion_1">
    <vt:lpwstr>270</vt:lpwstr>
  </property>
  <property fmtid="{D5CDD505-2E9C-101B-9397-08002B2CF9AE}" pid="30" name="Document type">
    <vt:lpwstr/>
  </property>
  <property fmtid="{D5CDD505-2E9C-101B-9397-08002B2CF9AE}" pid="31" name="AuthorIds_UIVersion_2">
    <vt:lpwstr>270</vt:lpwstr>
  </property>
  <property fmtid="{D5CDD505-2E9C-101B-9397-08002B2CF9AE}" pid="32" name="AuthorIds_UIVersion_5">
    <vt:lpwstr>270</vt:lpwstr>
  </property>
  <property fmtid="{D5CDD505-2E9C-101B-9397-08002B2CF9AE}" pid="33" name="AuthorIds_UIVersion_9">
    <vt:lpwstr>270</vt:lpwstr>
  </property>
  <property fmtid="{D5CDD505-2E9C-101B-9397-08002B2CF9AE}" pid="34" name="AuthorIds_UIVersion_10">
    <vt:lpwstr>270</vt:lpwstr>
  </property>
  <property fmtid="{D5CDD505-2E9C-101B-9397-08002B2CF9AE}" pid="35" name="AuthorIds_UIVersion_21">
    <vt:lpwstr>270</vt:lpwstr>
  </property>
  <property fmtid="{D5CDD505-2E9C-101B-9397-08002B2CF9AE}" pid="36" name="Order">
    <vt:r8>5800</vt:r8>
  </property>
  <property fmtid="{D5CDD505-2E9C-101B-9397-08002B2CF9AE}" pid="37" name="Economic Doc Type">
    <vt:lpwstr>37;#Economic research|cae649d8-698a-43c0-8501-7a582e8b2891</vt:lpwstr>
  </property>
  <property fmtid="{D5CDD505-2E9C-101B-9397-08002B2CF9AE}" pid="38" name="Project Name">
    <vt:lpwstr>36;#Health Co-benefits|505464dc-44e8-4047-82c1-2d63e2f616f3</vt:lpwstr>
  </property>
  <property fmtid="{D5CDD505-2E9C-101B-9397-08002B2CF9AE}" pid="39" name="o85941e134754762b9719660a258a6e6">
    <vt:lpwstr/>
  </property>
  <property fmtid="{D5CDD505-2E9C-101B-9397-08002B2CF9AE}" pid="40" name="Copyright Licence Name">
    <vt:lpwstr/>
  </property>
  <property fmtid="{D5CDD505-2E9C-101B-9397-08002B2CF9AE}" pid="41" name="df723ab3fe1c4eb7a0b151674e7ac40d">
    <vt:lpwstr/>
  </property>
  <property fmtid="{D5CDD505-2E9C-101B-9397-08002B2CF9AE}" pid="42" name="Location Type">
    <vt:lpwstr/>
  </property>
  <property fmtid="{D5CDD505-2E9C-101B-9397-08002B2CF9AE}" pid="43" name="Reference Type">
    <vt:lpwstr/>
  </property>
  <property fmtid="{D5CDD505-2E9C-101B-9397-08002B2CF9AE}" pid="44" name="Copyright License Type">
    <vt:lpwstr/>
  </property>
  <property fmtid="{D5CDD505-2E9C-101B-9397-08002B2CF9AE}" pid="45" name="AuthorIds_UIVersion_8">
    <vt:lpwstr>31</vt:lpwstr>
  </property>
  <property fmtid="{D5CDD505-2E9C-101B-9397-08002B2CF9AE}" pid="46" name="AuthorIds_UIVersion_13">
    <vt:lpwstr>31</vt:lpwstr>
  </property>
  <property fmtid="{D5CDD505-2E9C-101B-9397-08002B2CF9AE}" pid="47" name="AuthorIds_UIVersion_17">
    <vt:lpwstr>31</vt:lpwstr>
  </property>
  <property fmtid="{D5CDD505-2E9C-101B-9397-08002B2CF9AE}" pid="48" name="AuthorIds_UIVersion_20">
    <vt:lpwstr>31</vt:lpwstr>
  </property>
</Properties>
</file>