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8DF7" w14:textId="77777777" w:rsidR="005D5B85" w:rsidRPr="0097484C" w:rsidRDefault="005D5B85" w:rsidP="005D5B85">
      <w:pPr>
        <w:pStyle w:val="Heading6"/>
        <w:pageBreakBefore w:val="0"/>
        <w:framePr w:hSpace="1134" w:wrap="around" w:vAnchor="page" w:hAnchor="page" w:x="97" w:y="2041"/>
        <w:numPr>
          <w:ilvl w:val="0"/>
          <w:numId w:val="0"/>
        </w:numPr>
        <w:spacing w:after="0" w:line="14" w:lineRule="exact"/>
        <w:ind w:left="-1134"/>
        <w:rPr>
          <w:b/>
          <w:i w:val="0"/>
          <w:color w:val="FFFFFF"/>
          <w:sz w:val="14"/>
          <w:szCs w:val="14"/>
        </w:rPr>
      </w:pPr>
    </w:p>
    <w:p w14:paraId="7AAE2075" w14:textId="77777777" w:rsidR="00BC4823" w:rsidRPr="0097484C" w:rsidRDefault="00BC4823" w:rsidP="00BC4823">
      <w:pPr>
        <w:pStyle w:val="Heading6"/>
        <w:pageBreakBefore w:val="0"/>
        <w:framePr w:hSpace="1134" w:wrap="around" w:vAnchor="page" w:hAnchor="page" w:x="97" w:y="3481"/>
        <w:numPr>
          <w:ilvl w:val="0"/>
          <w:numId w:val="0"/>
        </w:numPr>
        <w:spacing w:after="0" w:line="14" w:lineRule="exact"/>
        <w:ind w:left="-1134"/>
        <w:rPr>
          <w:b/>
          <w:i w:val="0"/>
          <w:color w:val="FFFFFF"/>
          <w:sz w:val="14"/>
          <w:szCs w:val="14"/>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4"/>
        <w:gridCol w:w="3521"/>
      </w:tblGrid>
      <w:tr w:rsidR="00C97F0D" w14:paraId="3C6AA939" w14:textId="77777777" w:rsidTr="00C44B6A">
        <w:trPr>
          <w:cantSplit/>
          <w:trHeight w:hRule="exact" w:val="1150"/>
        </w:trPr>
        <w:tc>
          <w:tcPr>
            <w:tcW w:w="8505" w:type="dxa"/>
            <w:gridSpan w:val="2"/>
          </w:tcPr>
          <w:p w14:paraId="05201FA5" w14:textId="6B1335A0" w:rsidR="00C97F0D" w:rsidRDefault="00C97F0D" w:rsidP="00C44B6A">
            <w:pPr>
              <w:pStyle w:val="Confidential"/>
              <w:jc w:val="right"/>
            </w:pPr>
          </w:p>
        </w:tc>
      </w:tr>
      <w:tr w:rsidR="00C97F0D" w14:paraId="66455A61" w14:textId="77777777" w:rsidTr="00C44B6A">
        <w:trPr>
          <w:cantSplit/>
          <w:trHeight w:val="1968"/>
        </w:trPr>
        <w:tc>
          <w:tcPr>
            <w:tcW w:w="8505" w:type="dxa"/>
            <w:gridSpan w:val="2"/>
          </w:tcPr>
          <w:p w14:paraId="62EAD6F5" w14:textId="77777777" w:rsidR="00C97F0D" w:rsidRDefault="00C97F0D" w:rsidP="00C44B6A">
            <w:pPr>
              <w:pStyle w:val="BodyText"/>
              <w:spacing w:before="0"/>
            </w:pPr>
          </w:p>
        </w:tc>
      </w:tr>
      <w:tr w:rsidR="00C97F0D" w14:paraId="056423DF" w14:textId="77777777" w:rsidTr="00C44B6A">
        <w:trPr>
          <w:cantSplit/>
          <w:trHeight w:val="2988"/>
        </w:trPr>
        <w:tc>
          <w:tcPr>
            <w:tcW w:w="8505" w:type="dxa"/>
            <w:gridSpan w:val="2"/>
          </w:tcPr>
          <w:p w14:paraId="0DA9323A" w14:textId="4C1D8395" w:rsidR="00C97F0D" w:rsidRDefault="00AD5769" w:rsidP="00C44B6A">
            <w:pPr>
              <w:pStyle w:val="Reporttype"/>
            </w:pPr>
            <w:fldSimple w:instr=" DOCPROPERTY  ReportType ">
              <w:r w:rsidR="007B12E5">
                <w:t>report</w:t>
              </w:r>
            </w:fldSimple>
          </w:p>
          <w:p w14:paraId="2EF89FA2" w14:textId="100D3A3F" w:rsidR="00C97F0D" w:rsidRDefault="00AD5769" w:rsidP="00C44B6A">
            <w:pPr>
              <w:pStyle w:val="Title"/>
            </w:pPr>
            <w:fldSimple w:instr=" DOCPROPERTY  ReportTitle ">
              <w:r w:rsidR="007B12E5">
                <w:t>Impact of timing of emissions abatement</w:t>
              </w:r>
            </w:fldSimple>
          </w:p>
          <w:p w14:paraId="1310C50C" w14:textId="70E24CF2" w:rsidR="00C97F0D" w:rsidRPr="0089278E" w:rsidRDefault="00C97F0D" w:rsidP="00C44B6A">
            <w:pPr>
              <w:pStyle w:val="Subtitle"/>
            </w:pPr>
          </w:p>
        </w:tc>
      </w:tr>
      <w:tr w:rsidR="00C97F0D" w14:paraId="4C62535B" w14:textId="77777777" w:rsidTr="00C44B6A">
        <w:trPr>
          <w:cantSplit/>
          <w:trHeight w:hRule="exact" w:val="3640"/>
        </w:trPr>
        <w:tc>
          <w:tcPr>
            <w:tcW w:w="4984" w:type="dxa"/>
          </w:tcPr>
          <w:p w14:paraId="6DC0D290" w14:textId="77777777" w:rsidR="00C97F0D" w:rsidRDefault="00C97F0D" w:rsidP="00C44B6A">
            <w:pPr>
              <w:pStyle w:val="Chart"/>
            </w:pPr>
          </w:p>
        </w:tc>
        <w:tc>
          <w:tcPr>
            <w:tcW w:w="3521" w:type="dxa"/>
          </w:tcPr>
          <w:p w14:paraId="195AD321" w14:textId="77777777" w:rsidR="00C97F0D" w:rsidRDefault="00C97F0D" w:rsidP="00C44B6A">
            <w:pPr>
              <w:pStyle w:val="BodyText"/>
            </w:pPr>
          </w:p>
        </w:tc>
      </w:tr>
      <w:tr w:rsidR="00C97F0D" w14:paraId="5D88E2AB" w14:textId="77777777" w:rsidTr="00C44B6A">
        <w:trPr>
          <w:cantSplit/>
          <w:trHeight w:val="4224"/>
        </w:trPr>
        <w:tc>
          <w:tcPr>
            <w:tcW w:w="8505" w:type="dxa"/>
            <w:gridSpan w:val="2"/>
          </w:tcPr>
          <w:p w14:paraId="7324B700" w14:textId="77777777" w:rsidR="00C97F0D" w:rsidRDefault="00C97F0D" w:rsidP="00C44B6A">
            <w:pPr>
              <w:pStyle w:val="Client"/>
              <w:spacing w:before="280"/>
            </w:pPr>
            <w:r w:rsidRPr="001647E4">
              <w:t>Prepared for</w:t>
            </w:r>
          </w:p>
          <w:p w14:paraId="628D7F3F" w14:textId="5482FF30" w:rsidR="00C97F0D" w:rsidRDefault="00C97F0D" w:rsidP="00C44B6A">
            <w:pPr>
              <w:pStyle w:val="Client"/>
            </w:pPr>
            <w:r>
              <w:t xml:space="preserve">Victorian </w:t>
            </w:r>
            <w:r w:rsidR="003C35F2">
              <w:t>Department of Environment, Land, Water and Planning</w:t>
            </w:r>
          </w:p>
          <w:p w14:paraId="695784A7" w14:textId="4510FF8B" w:rsidR="00C97F0D" w:rsidRPr="009E7DDD" w:rsidRDefault="00AD5769" w:rsidP="00C44B6A">
            <w:pPr>
              <w:pStyle w:val="Date"/>
            </w:pPr>
            <w:fldSimple w:instr=" DOCPROPERTY  ReportDate ">
              <w:r w:rsidR="00A149E4">
                <w:t>2</w:t>
              </w:r>
              <w:r w:rsidR="00AA20D1">
                <w:t>7</w:t>
              </w:r>
              <w:r w:rsidR="00A149E4">
                <w:t xml:space="preserve"> </w:t>
              </w:r>
              <w:r w:rsidR="00114305">
                <w:t>May</w:t>
              </w:r>
              <w:r w:rsidR="007B12E5">
                <w:t xml:space="preserve"> </w:t>
              </w:r>
              <w:r w:rsidR="00114305">
                <w:t>2019</w:t>
              </w:r>
            </w:fldSimple>
          </w:p>
        </w:tc>
      </w:tr>
      <w:tr w:rsidR="00C97F0D" w14:paraId="3E5C2876" w14:textId="77777777" w:rsidTr="00C44B6A">
        <w:trPr>
          <w:cantSplit/>
          <w:trHeight w:val="419"/>
        </w:trPr>
        <w:tc>
          <w:tcPr>
            <w:tcW w:w="8505" w:type="dxa"/>
            <w:gridSpan w:val="2"/>
          </w:tcPr>
          <w:p w14:paraId="676C9874" w14:textId="77777777" w:rsidR="00C97F0D" w:rsidRPr="00F062BF" w:rsidRDefault="00C97F0D" w:rsidP="00C44B6A">
            <w:pPr>
              <w:pStyle w:val="BodyText"/>
              <w:spacing w:before="0"/>
              <w:rPr>
                <w:rFonts w:ascii="Franklin Gothic Demi" w:hAnsi="Franklin Gothic Demi"/>
                <w:caps/>
                <w:spacing w:val="10"/>
                <w:sz w:val="20"/>
              </w:rPr>
            </w:pPr>
            <w:r w:rsidRPr="00F062BF">
              <w:rPr>
                <w:rFonts w:ascii="Franklin Gothic Demi" w:hAnsi="Franklin Gothic Demi"/>
                <w:caps/>
                <w:spacing w:val="10"/>
                <w:sz w:val="20"/>
              </w:rPr>
              <w:t>The Centre for International Economics</w:t>
            </w:r>
          </w:p>
          <w:p w14:paraId="4C218E47" w14:textId="77777777" w:rsidR="00C97F0D" w:rsidRPr="00DA40B0" w:rsidRDefault="00C97F0D" w:rsidP="00C44B6A">
            <w:pPr>
              <w:pStyle w:val="BodyText"/>
              <w:spacing w:before="0"/>
              <w:rPr>
                <w:i/>
                <w:color w:val="9B917E" w:themeColor="accent4"/>
                <w:spacing w:val="10"/>
                <w:sz w:val="25"/>
              </w:rPr>
            </w:pPr>
            <w:r w:rsidRPr="00DA40B0">
              <w:rPr>
                <w:i/>
                <w:color w:val="9B917E" w:themeColor="accent4"/>
                <w:spacing w:val="10"/>
                <w:sz w:val="25"/>
              </w:rPr>
              <w:t>www.TheCIE.com.au</w:t>
            </w:r>
          </w:p>
        </w:tc>
      </w:tr>
    </w:tbl>
    <w:p w14:paraId="70891B91" w14:textId="77777777" w:rsidR="002A5062" w:rsidRDefault="00C97F0D" w:rsidP="00C97F0D">
      <w:pPr>
        <w:pStyle w:val="BodyText"/>
        <w:spacing w:before="0" w:line="240" w:lineRule="auto"/>
      </w:pPr>
      <w:r>
        <w:rPr>
          <w:noProof/>
        </w:rPr>
        <w:drawing>
          <wp:anchor distT="0" distB="0" distL="114300" distR="114300" simplePos="0" relativeHeight="251659264" behindDoc="1" locked="1" layoutInCell="0" allowOverlap="1" wp14:anchorId="375D1E77" wp14:editId="0A667D53">
            <wp:simplePos x="0" y="0"/>
            <wp:positionH relativeFrom="page">
              <wp:posOffset>0</wp:posOffset>
            </wp:positionH>
            <wp:positionV relativeFrom="page">
              <wp:posOffset>0</wp:posOffset>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no_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6F38EAC" w14:textId="77777777" w:rsidR="008F1A78" w:rsidRDefault="008F1A78" w:rsidP="00656D2E">
      <w:pPr>
        <w:rPr>
          <w:lang w:bidi="fa-IR"/>
        </w:rPr>
      </w:pPr>
    </w:p>
    <w:p w14:paraId="58B54635" w14:textId="77777777" w:rsidR="008F1A78" w:rsidRDefault="008F1A78" w:rsidP="00656D2E">
      <w:pPr>
        <w:rPr>
          <w:lang w:bidi="fa-IR"/>
        </w:rPr>
        <w:sectPr w:rsidR="008F1A78" w:rsidSect="001B3438">
          <w:headerReference w:type="default" r:id="rId9"/>
          <w:footerReference w:type="even" r:id="rId10"/>
          <w:pgSz w:w="11906" w:h="16838" w:code="9"/>
          <w:pgMar w:top="1145" w:right="1701" w:bottom="284" w:left="2268" w:header="680" w:footer="57" w:gutter="0"/>
          <w:cols w:space="708"/>
          <w:docGrid w:linePitch="360"/>
        </w:sectPr>
      </w:pPr>
    </w:p>
    <w:p w14:paraId="3D534468" w14:textId="77777777" w:rsidR="00721CE9" w:rsidRDefault="00721CE9" w:rsidP="00721CE9">
      <w:pPr>
        <w:pStyle w:val="BodyText"/>
        <w:pageBreakBefore/>
        <w:spacing w:before="0"/>
      </w:pPr>
      <w:bookmarkStart w:id="0" w:name="SummaryPage"/>
      <w:r>
        <w:lastRenderedPageBreak/>
        <w:t>The Centre for International Economics is a private economic research agency that provides professional, independent and timely analysis of international and domestic events and policies.</w:t>
      </w:r>
    </w:p>
    <w:p w14:paraId="3E742BDD" w14:textId="77777777" w:rsidR="00721CE9" w:rsidRDefault="00721CE9" w:rsidP="00721CE9">
      <w:pPr>
        <w:pStyle w:val="BodyText"/>
      </w:pPr>
      <w:r>
        <w:t>The CIE’s professional staff arrange, undertake and publish commissioned economic research and analysis for industry, corporations, governments, international agencies and individuals.</w:t>
      </w:r>
    </w:p>
    <w:p w14:paraId="09C38E36" w14:textId="77777777" w:rsidR="00A838D1" w:rsidRDefault="00A838D1" w:rsidP="00721CE9">
      <w:pPr>
        <w:pStyle w:val="BodyText"/>
      </w:pPr>
    </w:p>
    <w:p w14:paraId="2E3367B0" w14:textId="77777777" w:rsidR="00A838D1" w:rsidRDefault="00A838D1" w:rsidP="00721CE9">
      <w:pPr>
        <w:pStyle w:val="BodyText"/>
      </w:pPr>
    </w:p>
    <w:p w14:paraId="051D9C04" w14:textId="77777777" w:rsidR="00A838D1" w:rsidRDefault="00A838D1" w:rsidP="00721CE9">
      <w:pPr>
        <w:pStyle w:val="BodyText"/>
      </w:pPr>
    </w:p>
    <w:p w14:paraId="5BF6E718" w14:textId="2FA8C665" w:rsidR="00721CE9" w:rsidRPr="00A838D1" w:rsidRDefault="00721CE9" w:rsidP="00A838D1">
      <w:pPr>
        <w:pStyle w:val="BodyText"/>
      </w:pPr>
      <w:r w:rsidRPr="00A838D1">
        <w:t xml:space="preserve">© Centre for International Economics </w:t>
      </w:r>
      <w:r w:rsidRPr="00A838D1">
        <w:fldChar w:fldCharType="begin"/>
      </w:r>
      <w:r w:rsidRPr="00A838D1">
        <w:instrText xml:space="preserve"> SAVEDATE  \@ "yyyy"  \* MERGEFORMAT </w:instrText>
      </w:r>
      <w:r w:rsidRPr="00A838D1">
        <w:fldChar w:fldCharType="separate"/>
      </w:r>
      <w:r w:rsidR="008A2B2B">
        <w:rPr>
          <w:noProof/>
        </w:rPr>
        <w:t>2019</w:t>
      </w:r>
      <w:r w:rsidRPr="00A838D1">
        <w:fldChar w:fldCharType="end"/>
      </w:r>
    </w:p>
    <w:p w14:paraId="2A0C72EA" w14:textId="77777777" w:rsidR="00721CE9" w:rsidRPr="00511766" w:rsidRDefault="00721CE9" w:rsidP="00721CE9">
      <w:pPr>
        <w:pStyle w:val="BodyText"/>
        <w:spacing w:before="80"/>
      </w:pPr>
      <w:r w:rsidRPr="00511766">
        <w:t>This work is copyright. Individuals, agencies and corporations wishing to reproduce this material should contact the Centre for International Economics at one of the following 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4026"/>
      </w:tblGrid>
      <w:tr w:rsidR="00721CE9" w14:paraId="42967E3D" w14:textId="77777777" w:rsidTr="005B1FD7">
        <w:tc>
          <w:tcPr>
            <w:tcW w:w="3911" w:type="dxa"/>
          </w:tcPr>
          <w:p w14:paraId="3AA143C4" w14:textId="77777777" w:rsidR="00721CE9" w:rsidRPr="009E7DDD" w:rsidRDefault="00721CE9" w:rsidP="004E7620">
            <w:pPr>
              <w:pStyle w:val="BodyText"/>
              <w:spacing w:before="200" w:line="260" w:lineRule="atLeast"/>
              <w:rPr>
                <w:rFonts w:ascii="Franklin Gothic Demi" w:hAnsi="Franklin Gothic Demi"/>
                <w:caps/>
                <w:color w:val="9B917E" w:themeColor="accent4"/>
                <w:spacing w:val="44"/>
              </w:rPr>
            </w:pPr>
            <w:r w:rsidRPr="009E7DDD">
              <w:rPr>
                <w:rFonts w:ascii="Franklin Gothic Demi" w:hAnsi="Franklin Gothic Demi"/>
                <w:caps/>
                <w:color w:val="9B917E" w:themeColor="accent4"/>
                <w:spacing w:val="44"/>
              </w:rPr>
              <w:t>Canberra</w:t>
            </w:r>
          </w:p>
          <w:p w14:paraId="57B177FD" w14:textId="77777777" w:rsidR="00721CE9" w:rsidRPr="007248CB" w:rsidRDefault="00721CE9" w:rsidP="001D72A4">
            <w:pPr>
              <w:pStyle w:val="SenderAddress"/>
            </w:pPr>
            <w:r w:rsidRPr="007248CB">
              <w:t>Centre for International Economics</w:t>
            </w:r>
            <w:r w:rsidR="001D72A4">
              <w:t xml:space="preserve"> </w:t>
            </w:r>
            <w:r w:rsidR="001D72A4">
              <w:br/>
            </w:r>
            <w:r w:rsidRPr="007248CB">
              <w:t>Ground Floor, 11 Lancaster Place</w:t>
            </w:r>
            <w:r w:rsidR="001D72A4">
              <w:t xml:space="preserve"> </w:t>
            </w:r>
            <w:r w:rsidR="001D72A4">
              <w:br/>
            </w:r>
            <w:r w:rsidRPr="007248CB">
              <w:t>Majura Park</w:t>
            </w:r>
          </w:p>
          <w:p w14:paraId="4E55112E" w14:textId="77777777" w:rsidR="00721CE9" w:rsidRPr="007248CB" w:rsidRDefault="00721CE9" w:rsidP="001D72A4">
            <w:pPr>
              <w:pStyle w:val="SenderAddress"/>
            </w:pPr>
            <w:r w:rsidRPr="007248CB">
              <w:t>Canberra</w:t>
            </w:r>
            <w:r>
              <w:t> </w:t>
            </w:r>
            <w:r>
              <w:t>ACT</w:t>
            </w:r>
            <w:r>
              <w:t> </w:t>
            </w:r>
            <w:r w:rsidRPr="007248CB">
              <w:t>2609</w:t>
            </w:r>
            <w:r w:rsidR="001D72A4">
              <w:t xml:space="preserve"> </w:t>
            </w:r>
            <w:r w:rsidR="001D72A4">
              <w:br/>
            </w:r>
            <w:r w:rsidRPr="007248CB">
              <w:t>GPO Box 2203</w:t>
            </w:r>
            <w:r w:rsidR="001D72A4">
              <w:t xml:space="preserve"> </w:t>
            </w:r>
            <w:r w:rsidR="001D72A4">
              <w:br/>
            </w:r>
            <w:r w:rsidRPr="007248CB">
              <w:t>Canberra</w:t>
            </w:r>
            <w:r>
              <w:t> </w:t>
            </w:r>
            <w:r w:rsidRPr="007248CB">
              <w:t>ACT</w:t>
            </w:r>
            <w:r>
              <w:t> </w:t>
            </w:r>
            <w:r w:rsidRPr="007248CB">
              <w:t>Australia</w:t>
            </w:r>
            <w:r>
              <w:t> </w:t>
            </w:r>
            <w:r w:rsidRPr="007248CB">
              <w:t>2601</w:t>
            </w:r>
          </w:p>
          <w:p w14:paraId="3080FD9C" w14:textId="77777777" w:rsidR="00721CE9" w:rsidRPr="007248CB" w:rsidRDefault="00721CE9" w:rsidP="001D72A4">
            <w:pPr>
              <w:pStyle w:val="SenderAddress"/>
            </w:pPr>
            <w:r>
              <w:t>Telephone</w:t>
            </w:r>
            <w:r>
              <w:tab/>
            </w:r>
            <w:r w:rsidRPr="007248CB">
              <w:t>+61 2 6245 7800</w:t>
            </w:r>
            <w:r w:rsidR="001D72A4">
              <w:t xml:space="preserve"> </w:t>
            </w:r>
            <w:r w:rsidR="001D72A4">
              <w:br/>
            </w:r>
            <w:r w:rsidRPr="007248CB">
              <w:t xml:space="preserve">Facsimile </w:t>
            </w:r>
            <w:r>
              <w:tab/>
            </w:r>
            <w:r w:rsidRPr="007248CB">
              <w:t>+61 2 6245 7888</w:t>
            </w:r>
            <w:r w:rsidR="001D72A4">
              <w:t xml:space="preserve"> </w:t>
            </w:r>
            <w:r w:rsidR="001D72A4">
              <w:br/>
            </w:r>
            <w:r w:rsidRPr="007248CB">
              <w:t>Ema</w:t>
            </w:r>
            <w:r>
              <w:t>il</w:t>
            </w:r>
            <w:r>
              <w:tab/>
            </w:r>
            <w:r w:rsidRPr="007248CB">
              <w:t>cie@TheCIE.com.au</w:t>
            </w:r>
          </w:p>
          <w:p w14:paraId="5F8E12BA" w14:textId="77777777" w:rsidR="00721CE9" w:rsidRDefault="00721CE9" w:rsidP="001D72A4">
            <w:pPr>
              <w:pStyle w:val="SenderAddress"/>
              <w:rPr>
                <w:rFonts w:ascii="Franklin Gothic Demi" w:hAnsi="Franklin Gothic Demi"/>
                <w:color w:val="9B917E" w:themeColor="accent4"/>
              </w:rPr>
            </w:pPr>
            <w:r>
              <w:t>Website</w:t>
            </w:r>
            <w:r>
              <w:tab/>
            </w:r>
            <w:r w:rsidRPr="007248CB">
              <w:t>www.TheCIE.com.au</w:t>
            </w:r>
          </w:p>
        </w:tc>
        <w:tc>
          <w:tcPr>
            <w:tcW w:w="4026" w:type="dxa"/>
          </w:tcPr>
          <w:p w14:paraId="6871473B" w14:textId="77777777" w:rsidR="00721CE9" w:rsidRPr="009E7DDD" w:rsidRDefault="00721CE9" w:rsidP="004E7620">
            <w:pPr>
              <w:pStyle w:val="BodyText"/>
              <w:spacing w:before="200" w:line="260" w:lineRule="atLeast"/>
              <w:rPr>
                <w:rFonts w:ascii="Franklin Gothic Demi" w:hAnsi="Franklin Gothic Demi"/>
                <w:caps/>
                <w:color w:val="9B917E" w:themeColor="accent4"/>
                <w:spacing w:val="44"/>
              </w:rPr>
            </w:pPr>
            <w:r w:rsidRPr="009E7DDD">
              <w:rPr>
                <w:rFonts w:ascii="Franklin Gothic Demi" w:hAnsi="Franklin Gothic Demi"/>
                <w:caps/>
                <w:color w:val="9B917E" w:themeColor="accent4"/>
                <w:spacing w:val="44"/>
              </w:rPr>
              <w:t>Sydney</w:t>
            </w:r>
          </w:p>
          <w:p w14:paraId="5CC67E38" w14:textId="77777777" w:rsidR="00721CE9" w:rsidRDefault="00721CE9" w:rsidP="001D72A4">
            <w:pPr>
              <w:pStyle w:val="SenderAddress"/>
            </w:pPr>
            <w:r w:rsidRPr="007248CB">
              <w:t>Centre for International Economics</w:t>
            </w:r>
            <w:r w:rsidR="001D72A4">
              <w:t xml:space="preserve"> </w:t>
            </w:r>
            <w:r w:rsidR="001D72A4">
              <w:br/>
            </w:r>
            <w:r w:rsidRPr="007248CB">
              <w:t xml:space="preserve">Suite </w:t>
            </w:r>
            <w:r>
              <w:t>1</w:t>
            </w:r>
            <w:r w:rsidRPr="007248CB">
              <w:t>, Level 16, 1 York Street</w:t>
            </w:r>
            <w:r w:rsidR="001D72A4">
              <w:t xml:space="preserve"> </w:t>
            </w:r>
            <w:r w:rsidR="001D72A4">
              <w:br/>
            </w:r>
            <w:r w:rsidRPr="007248CB">
              <w:t>Sydney</w:t>
            </w:r>
            <w:r w:rsidRPr="007248CB">
              <w:rPr>
                <w:rFonts w:cs="Book Antiqua"/>
              </w:rPr>
              <w:t> </w:t>
            </w:r>
            <w:r w:rsidRPr="007248CB">
              <w:t>NSW 2000</w:t>
            </w:r>
          </w:p>
          <w:p w14:paraId="45E517BD" w14:textId="71C128F1" w:rsidR="00721CE9" w:rsidRPr="007248CB" w:rsidRDefault="00721CE9" w:rsidP="001D72A4">
            <w:pPr>
              <w:pStyle w:val="SenderAddress"/>
            </w:pPr>
            <w:r>
              <w:t>Telephone</w:t>
            </w:r>
            <w:r>
              <w:tab/>
            </w:r>
            <w:r w:rsidRPr="007248CB">
              <w:t>+61 2 9250 0800</w:t>
            </w:r>
            <w:r w:rsidR="001D72A4">
              <w:t xml:space="preserve"> </w:t>
            </w:r>
            <w:r w:rsidR="001D72A4">
              <w:br/>
            </w:r>
            <w:r w:rsidRPr="007248CB">
              <w:t>Email</w:t>
            </w:r>
            <w:r w:rsidRPr="007248CB">
              <w:tab/>
            </w:r>
            <w:hyperlink r:id="rId11" w:history="1">
              <w:r w:rsidRPr="007248CB">
                <w:t>ciesyd@TheCIE.com.au</w:t>
              </w:r>
            </w:hyperlink>
          </w:p>
          <w:p w14:paraId="00CC8EFF" w14:textId="1A4C98DE" w:rsidR="00721CE9" w:rsidRDefault="00721CE9" w:rsidP="001D72A4">
            <w:pPr>
              <w:pStyle w:val="SenderAddress"/>
              <w:rPr>
                <w:rFonts w:ascii="Franklin Gothic Demi" w:hAnsi="Franklin Gothic Demi"/>
                <w:color w:val="9B917E" w:themeColor="accent4"/>
              </w:rPr>
            </w:pPr>
            <w:r w:rsidRPr="007248CB">
              <w:t>Website</w:t>
            </w:r>
            <w:r w:rsidRPr="007248CB">
              <w:tab/>
            </w:r>
            <w:hyperlink r:id="rId12" w:history="1">
              <w:r w:rsidRPr="007248CB">
                <w:t>www.TheCIE.com.au</w:t>
              </w:r>
            </w:hyperlink>
          </w:p>
        </w:tc>
      </w:tr>
      <w:tr w:rsidR="004E13DA" w14:paraId="10C80EAD" w14:textId="77777777" w:rsidTr="005B1FD7">
        <w:tc>
          <w:tcPr>
            <w:tcW w:w="3911" w:type="dxa"/>
          </w:tcPr>
          <w:p w14:paraId="2275CD72" w14:textId="77777777" w:rsidR="001D72A4" w:rsidRPr="009E7DDD" w:rsidRDefault="001D72A4" w:rsidP="001D72A4">
            <w:pPr>
              <w:pStyle w:val="BodyText"/>
              <w:spacing w:before="200" w:line="260" w:lineRule="atLeast"/>
              <w:rPr>
                <w:rFonts w:ascii="Franklin Gothic Demi" w:hAnsi="Franklin Gothic Demi"/>
                <w:caps/>
                <w:color w:val="9B917E" w:themeColor="accent4"/>
                <w:spacing w:val="44"/>
              </w:rPr>
            </w:pPr>
            <w:r w:rsidRPr="001D72A4">
              <w:rPr>
                <w:rFonts w:ascii="Franklin Gothic Demi" w:hAnsi="Franklin Gothic Demi"/>
                <w:caps/>
                <w:color w:val="9B917E" w:themeColor="accent4"/>
                <w:spacing w:val="44"/>
              </w:rPr>
              <w:t>BRISBANE</w:t>
            </w:r>
          </w:p>
          <w:p w14:paraId="1C5740D8" w14:textId="77777777" w:rsidR="001D72A4" w:rsidRPr="007248CB" w:rsidRDefault="001D72A4" w:rsidP="001D72A4">
            <w:pPr>
              <w:pStyle w:val="SenderAddress"/>
            </w:pPr>
            <w:r w:rsidRPr="007248CB">
              <w:t>Centre for International Economics</w:t>
            </w:r>
            <w:r>
              <w:t xml:space="preserve"> </w:t>
            </w:r>
            <w:r>
              <w:br/>
            </w:r>
            <w:r w:rsidR="00EF580D" w:rsidRPr="00EF580D">
              <w:t>Nous House</w:t>
            </w:r>
            <w:r w:rsidR="00EF580D">
              <w:br/>
            </w:r>
            <w:r w:rsidR="00EF580D" w:rsidRPr="00EF580D">
              <w:t>Level 12, 259 Queen Street</w:t>
            </w:r>
            <w:r>
              <w:t xml:space="preserve"> </w:t>
            </w:r>
            <w:r>
              <w:br/>
            </w:r>
            <w:r w:rsidR="00EF580D">
              <w:t>Brisbane</w:t>
            </w:r>
            <w:r w:rsidRPr="001D72A4">
              <w:t> QLD 400</w:t>
            </w:r>
            <w:r w:rsidR="00EF580D">
              <w:t>0</w:t>
            </w:r>
            <w:r>
              <w:t xml:space="preserve"> </w:t>
            </w:r>
          </w:p>
          <w:p w14:paraId="5A5F5B4F" w14:textId="77777777" w:rsidR="001D72A4" w:rsidRPr="007248CB" w:rsidRDefault="001D72A4" w:rsidP="001D72A4">
            <w:pPr>
              <w:pStyle w:val="SenderAddress"/>
            </w:pPr>
            <w:r>
              <w:t>Phone</w:t>
            </w:r>
            <w:r>
              <w:tab/>
            </w:r>
            <w:r w:rsidRPr="001D72A4">
              <w:t>+61 419 040 735</w:t>
            </w:r>
            <w:r>
              <w:t xml:space="preserve"> </w:t>
            </w:r>
            <w:r>
              <w:br/>
            </w:r>
            <w:r w:rsidRPr="007248CB">
              <w:t>Ema</w:t>
            </w:r>
            <w:r>
              <w:t>il</w:t>
            </w:r>
            <w:r>
              <w:tab/>
            </w:r>
            <w:r w:rsidRPr="007248CB">
              <w:t>cie@TheCIE.com.au</w:t>
            </w:r>
          </w:p>
          <w:p w14:paraId="173ED26C" w14:textId="77777777" w:rsidR="004E13DA" w:rsidRPr="009E7DDD" w:rsidRDefault="001D72A4" w:rsidP="001D72A4">
            <w:pPr>
              <w:pStyle w:val="SenderAddress"/>
              <w:rPr>
                <w:rFonts w:ascii="Franklin Gothic Demi" w:hAnsi="Franklin Gothic Demi"/>
                <w:caps/>
                <w:color w:val="9B917E" w:themeColor="accent4"/>
                <w:spacing w:val="44"/>
              </w:rPr>
            </w:pPr>
            <w:r>
              <w:t>Website</w:t>
            </w:r>
            <w:r>
              <w:tab/>
            </w:r>
            <w:r w:rsidRPr="007248CB">
              <w:t>www.TheCIE.com.au</w:t>
            </w:r>
          </w:p>
        </w:tc>
        <w:tc>
          <w:tcPr>
            <w:tcW w:w="4026" w:type="dxa"/>
          </w:tcPr>
          <w:p w14:paraId="601B4237" w14:textId="77777777" w:rsidR="004E13DA" w:rsidRPr="009E7DDD" w:rsidRDefault="004E13DA" w:rsidP="004E7620">
            <w:pPr>
              <w:pStyle w:val="BodyText"/>
              <w:spacing w:before="200" w:line="260" w:lineRule="atLeast"/>
              <w:rPr>
                <w:rFonts w:ascii="Franklin Gothic Demi" w:hAnsi="Franklin Gothic Demi"/>
                <w:caps/>
                <w:color w:val="9B917E" w:themeColor="accent4"/>
                <w:spacing w:val="44"/>
              </w:rPr>
            </w:pPr>
          </w:p>
        </w:tc>
      </w:tr>
    </w:tbl>
    <w:p w14:paraId="65E7BC64" w14:textId="77777777" w:rsidR="005B1FD7" w:rsidRPr="00375BA6" w:rsidRDefault="005B1FD7" w:rsidP="00A838D1">
      <w:pPr>
        <w:pStyle w:val="DisclaimerHeading"/>
      </w:pPr>
      <w:r w:rsidRPr="00375BA6">
        <w:t>Disclaimer</w:t>
      </w:r>
    </w:p>
    <w:p w14:paraId="0633355A" w14:textId="77777777" w:rsidR="006730DA" w:rsidRDefault="001B25D3" w:rsidP="001B25D3">
      <w:pPr>
        <w:pStyle w:val="Disclaimer"/>
        <w:rPr>
          <w:lang w:bidi="fa-IR"/>
        </w:rPr>
      </w:pPr>
      <w:r>
        <w:t>While the CIE endeavours to provide reliable analysis and believes the material it presents is accurate, it will not be liable for any party acting on such information.</w:t>
      </w:r>
    </w:p>
    <w:p w14:paraId="75927C2F" w14:textId="77777777" w:rsidR="001B25D3" w:rsidRDefault="001B25D3" w:rsidP="006730DA"/>
    <w:p w14:paraId="0FB303A6" w14:textId="77777777" w:rsidR="001B25D3" w:rsidRDefault="001B25D3" w:rsidP="006730DA">
      <w:pPr>
        <w:sectPr w:rsidR="001B25D3" w:rsidSect="00A838D1">
          <w:headerReference w:type="even" r:id="rId13"/>
          <w:headerReference w:type="default" r:id="rId14"/>
          <w:footerReference w:type="even" r:id="rId15"/>
          <w:footerReference w:type="default" r:id="rId16"/>
          <w:pgSz w:w="11906" w:h="16838" w:code="9"/>
          <w:pgMar w:top="2268" w:right="1701" w:bottom="567" w:left="2268" w:header="680" w:footer="113" w:gutter="0"/>
          <w:cols w:space="708"/>
          <w:docGrid w:linePitch="360"/>
        </w:sectPr>
      </w:pPr>
    </w:p>
    <w:p w14:paraId="619FB26C" w14:textId="77777777" w:rsidR="00650F3E" w:rsidRDefault="00650F3E" w:rsidP="004E7620">
      <w:pPr>
        <w:pStyle w:val="Contents"/>
      </w:pPr>
      <w:bookmarkStart w:id="1" w:name="DeleteTOC"/>
      <w:bookmarkEnd w:id="0"/>
      <w:r>
        <w:lastRenderedPageBreak/>
        <w:t>Contents</w:t>
      </w:r>
    </w:p>
    <w:p w14:paraId="49A3BBDF" w14:textId="0C7D7C99" w:rsidR="00AD5769" w:rsidRDefault="00650F3E">
      <w:pPr>
        <w:pStyle w:val="TOC1"/>
        <w:rPr>
          <w:rFonts w:asciiTheme="minorHAnsi" w:eastAsiaTheme="minorEastAsia" w:hAnsiTheme="minorHAnsi" w:cstheme="minorBidi"/>
          <w:noProof/>
          <w:sz w:val="22"/>
          <w:szCs w:val="22"/>
        </w:rPr>
      </w:pPr>
      <w:r w:rsidRPr="00876B40">
        <w:fldChar w:fldCharType="begin"/>
      </w:r>
      <w:r w:rsidRPr="00876B40">
        <w:instrText xml:space="preserve"> TOC \t "Heading 1,1</w:instrText>
      </w:r>
      <w:r w:rsidR="00D22E66">
        <w:instrText>,</w:instrText>
      </w:r>
      <w:r w:rsidR="008D3341" w:rsidRPr="008D3341">
        <w:instrText>Heading 1 NotNumbered</w:instrText>
      </w:r>
      <w:r w:rsidR="008D3341">
        <w:instrText>,1</w:instrText>
      </w:r>
      <w:r w:rsidRPr="00876B40">
        <w:instrText xml:space="preserve">,Heading 2,2,Heading </w:instrText>
      </w:r>
      <w:r>
        <w:instrText>6</w:instrText>
      </w:r>
      <w:r w:rsidRPr="00876B40">
        <w:instrText xml:space="preserve">,1,Part Title,4" </w:instrText>
      </w:r>
      <w:r w:rsidRPr="00876B40">
        <w:fldChar w:fldCharType="separate"/>
      </w:r>
      <w:r w:rsidR="00AD5769">
        <w:rPr>
          <w:noProof/>
          <w:lang w:bidi="fa-IR"/>
        </w:rPr>
        <w:t>Summary</w:t>
      </w:r>
      <w:r w:rsidR="00AD5769">
        <w:rPr>
          <w:noProof/>
        </w:rPr>
        <w:tab/>
      </w:r>
      <w:r w:rsidR="00AD5769">
        <w:rPr>
          <w:noProof/>
        </w:rPr>
        <w:fldChar w:fldCharType="begin"/>
      </w:r>
      <w:r w:rsidR="00AD5769">
        <w:rPr>
          <w:noProof/>
        </w:rPr>
        <w:instrText xml:space="preserve"> PAGEREF _Toc9778447 \h </w:instrText>
      </w:r>
      <w:r w:rsidR="00AD5769">
        <w:rPr>
          <w:noProof/>
        </w:rPr>
      </w:r>
      <w:r w:rsidR="00AD5769">
        <w:rPr>
          <w:noProof/>
        </w:rPr>
        <w:fldChar w:fldCharType="separate"/>
      </w:r>
      <w:r w:rsidR="00AD5769">
        <w:rPr>
          <w:noProof/>
        </w:rPr>
        <w:t>1</w:t>
      </w:r>
      <w:r w:rsidR="00AD5769">
        <w:rPr>
          <w:noProof/>
        </w:rPr>
        <w:fldChar w:fldCharType="end"/>
      </w:r>
    </w:p>
    <w:p w14:paraId="296B2C82" w14:textId="573596BB" w:rsidR="00AD5769" w:rsidRDefault="00AD5769">
      <w:pPr>
        <w:pStyle w:val="TOC1"/>
        <w:rPr>
          <w:rFonts w:asciiTheme="minorHAnsi" w:eastAsiaTheme="minorEastAsia" w:hAnsiTheme="minorHAnsi" w:cstheme="minorBidi"/>
          <w:noProof/>
          <w:sz w:val="22"/>
          <w:szCs w:val="22"/>
        </w:rPr>
      </w:pPr>
      <w:r>
        <w:rPr>
          <w:noProof/>
          <w:lang w:bidi="fa-IR"/>
        </w:rPr>
        <w:t>1</w:t>
      </w:r>
      <w:r>
        <w:rPr>
          <w:rFonts w:asciiTheme="minorHAnsi" w:eastAsiaTheme="minorEastAsia" w:hAnsiTheme="minorHAnsi" w:cstheme="minorBidi"/>
          <w:noProof/>
          <w:sz w:val="22"/>
          <w:szCs w:val="22"/>
        </w:rPr>
        <w:tab/>
      </w:r>
      <w:r>
        <w:rPr>
          <w:noProof/>
          <w:lang w:bidi="fa-IR"/>
        </w:rPr>
        <w:t>Introduction and context</w:t>
      </w:r>
      <w:r>
        <w:rPr>
          <w:noProof/>
        </w:rPr>
        <w:tab/>
      </w:r>
      <w:r>
        <w:rPr>
          <w:noProof/>
        </w:rPr>
        <w:fldChar w:fldCharType="begin"/>
      </w:r>
      <w:r>
        <w:rPr>
          <w:noProof/>
        </w:rPr>
        <w:instrText xml:space="preserve"> PAGEREF _Toc9778448 \h </w:instrText>
      </w:r>
      <w:r>
        <w:rPr>
          <w:noProof/>
        </w:rPr>
      </w:r>
      <w:r>
        <w:rPr>
          <w:noProof/>
        </w:rPr>
        <w:fldChar w:fldCharType="separate"/>
      </w:r>
      <w:r>
        <w:rPr>
          <w:noProof/>
        </w:rPr>
        <w:t>4</w:t>
      </w:r>
      <w:r>
        <w:rPr>
          <w:noProof/>
        </w:rPr>
        <w:fldChar w:fldCharType="end"/>
      </w:r>
    </w:p>
    <w:p w14:paraId="0F97508B" w14:textId="5B5CACB1" w:rsidR="00AD5769" w:rsidRDefault="00AD5769">
      <w:pPr>
        <w:pStyle w:val="TOC2"/>
        <w:rPr>
          <w:rFonts w:asciiTheme="minorHAnsi" w:eastAsiaTheme="minorEastAsia" w:hAnsiTheme="minorHAnsi" w:cstheme="minorBidi"/>
          <w:noProof/>
          <w:sz w:val="22"/>
          <w:szCs w:val="22"/>
        </w:rPr>
      </w:pPr>
      <w:r>
        <w:rPr>
          <w:noProof/>
          <w:lang w:bidi="fa-IR"/>
        </w:rPr>
        <w:t>Paths being considered for abatement</w:t>
      </w:r>
      <w:r>
        <w:rPr>
          <w:noProof/>
        </w:rPr>
        <w:tab/>
      </w:r>
      <w:r>
        <w:rPr>
          <w:noProof/>
        </w:rPr>
        <w:fldChar w:fldCharType="begin"/>
      </w:r>
      <w:r>
        <w:rPr>
          <w:noProof/>
        </w:rPr>
        <w:instrText xml:space="preserve"> PAGEREF _Toc9778449 \h </w:instrText>
      </w:r>
      <w:r>
        <w:rPr>
          <w:noProof/>
        </w:rPr>
      </w:r>
      <w:r>
        <w:rPr>
          <w:noProof/>
        </w:rPr>
        <w:fldChar w:fldCharType="separate"/>
      </w:r>
      <w:r>
        <w:rPr>
          <w:noProof/>
        </w:rPr>
        <w:t>4</w:t>
      </w:r>
      <w:r>
        <w:rPr>
          <w:noProof/>
        </w:rPr>
        <w:fldChar w:fldCharType="end"/>
      </w:r>
    </w:p>
    <w:p w14:paraId="3AF9ABC1" w14:textId="2EB9E709" w:rsidR="00AD5769" w:rsidRDefault="00AD5769">
      <w:pPr>
        <w:pStyle w:val="TOC2"/>
        <w:rPr>
          <w:rFonts w:asciiTheme="minorHAnsi" w:eastAsiaTheme="minorEastAsia" w:hAnsiTheme="minorHAnsi" w:cstheme="minorBidi"/>
          <w:noProof/>
          <w:sz w:val="22"/>
          <w:szCs w:val="22"/>
        </w:rPr>
      </w:pPr>
      <w:r>
        <w:rPr>
          <w:noProof/>
          <w:lang w:bidi="fa-IR"/>
        </w:rPr>
        <w:t>Studies used</w:t>
      </w:r>
      <w:r>
        <w:rPr>
          <w:noProof/>
        </w:rPr>
        <w:tab/>
      </w:r>
      <w:r>
        <w:rPr>
          <w:noProof/>
        </w:rPr>
        <w:fldChar w:fldCharType="begin"/>
      </w:r>
      <w:r>
        <w:rPr>
          <w:noProof/>
        </w:rPr>
        <w:instrText xml:space="preserve"> PAGEREF _Toc9778450 \h </w:instrText>
      </w:r>
      <w:r>
        <w:rPr>
          <w:noProof/>
        </w:rPr>
      </w:r>
      <w:r>
        <w:rPr>
          <w:noProof/>
        </w:rPr>
        <w:fldChar w:fldCharType="separate"/>
      </w:r>
      <w:r>
        <w:rPr>
          <w:noProof/>
        </w:rPr>
        <w:t>6</w:t>
      </w:r>
      <w:r>
        <w:rPr>
          <w:noProof/>
        </w:rPr>
        <w:fldChar w:fldCharType="end"/>
      </w:r>
    </w:p>
    <w:p w14:paraId="173EDAFD" w14:textId="31459A8F" w:rsidR="00AD5769" w:rsidRDefault="00AD5769">
      <w:pPr>
        <w:pStyle w:val="TOC1"/>
        <w:rPr>
          <w:rFonts w:asciiTheme="minorHAnsi" w:eastAsiaTheme="minorEastAsia" w:hAnsiTheme="minorHAnsi" w:cstheme="minorBidi"/>
          <w:noProof/>
          <w:sz w:val="22"/>
          <w:szCs w:val="22"/>
        </w:rPr>
      </w:pPr>
      <w:r>
        <w:rPr>
          <w:noProof/>
          <w:lang w:bidi="fa-IR"/>
        </w:rPr>
        <w:t>2</w:t>
      </w:r>
      <w:r>
        <w:rPr>
          <w:rFonts w:asciiTheme="minorHAnsi" w:eastAsiaTheme="minorEastAsia" w:hAnsiTheme="minorHAnsi" w:cstheme="minorBidi"/>
          <w:noProof/>
          <w:sz w:val="22"/>
          <w:szCs w:val="22"/>
        </w:rPr>
        <w:tab/>
      </w:r>
      <w:r>
        <w:rPr>
          <w:noProof/>
          <w:lang w:bidi="fa-IR"/>
        </w:rPr>
        <w:t>What determines the optimal path of abatement</w:t>
      </w:r>
      <w:r>
        <w:rPr>
          <w:noProof/>
        </w:rPr>
        <w:tab/>
      </w:r>
      <w:r>
        <w:rPr>
          <w:noProof/>
        </w:rPr>
        <w:fldChar w:fldCharType="begin"/>
      </w:r>
      <w:r>
        <w:rPr>
          <w:noProof/>
        </w:rPr>
        <w:instrText xml:space="preserve"> PAGEREF _Toc9778451 \h </w:instrText>
      </w:r>
      <w:r>
        <w:rPr>
          <w:noProof/>
        </w:rPr>
      </w:r>
      <w:r>
        <w:rPr>
          <w:noProof/>
        </w:rPr>
        <w:fldChar w:fldCharType="separate"/>
      </w:r>
      <w:r>
        <w:rPr>
          <w:noProof/>
        </w:rPr>
        <w:t>7</w:t>
      </w:r>
      <w:r>
        <w:rPr>
          <w:noProof/>
        </w:rPr>
        <w:fldChar w:fldCharType="end"/>
      </w:r>
    </w:p>
    <w:p w14:paraId="6163E783" w14:textId="0C2B6DF1" w:rsidR="00AD5769" w:rsidRDefault="00AD5769">
      <w:pPr>
        <w:pStyle w:val="TOC1"/>
        <w:rPr>
          <w:rFonts w:asciiTheme="minorHAnsi" w:eastAsiaTheme="minorEastAsia" w:hAnsiTheme="minorHAnsi" w:cstheme="minorBidi"/>
          <w:noProof/>
          <w:sz w:val="22"/>
          <w:szCs w:val="22"/>
        </w:rPr>
      </w:pPr>
      <w:r>
        <w:rPr>
          <w:noProof/>
          <w:lang w:bidi="fa-IR"/>
        </w:rPr>
        <w:t>3</w:t>
      </w:r>
      <w:r>
        <w:rPr>
          <w:rFonts w:asciiTheme="minorHAnsi" w:eastAsiaTheme="minorEastAsia" w:hAnsiTheme="minorHAnsi" w:cstheme="minorBidi"/>
          <w:noProof/>
          <w:sz w:val="22"/>
          <w:szCs w:val="22"/>
        </w:rPr>
        <w:tab/>
      </w:r>
      <w:r>
        <w:rPr>
          <w:noProof/>
          <w:lang w:bidi="fa-IR"/>
        </w:rPr>
        <w:t>Using results from existing CGE modelling exercises</w:t>
      </w:r>
      <w:r>
        <w:rPr>
          <w:noProof/>
        </w:rPr>
        <w:tab/>
      </w:r>
      <w:r>
        <w:rPr>
          <w:noProof/>
        </w:rPr>
        <w:fldChar w:fldCharType="begin"/>
      </w:r>
      <w:r>
        <w:rPr>
          <w:noProof/>
        </w:rPr>
        <w:instrText xml:space="preserve"> PAGEREF _Toc9778452 \h </w:instrText>
      </w:r>
      <w:r>
        <w:rPr>
          <w:noProof/>
        </w:rPr>
      </w:r>
      <w:r>
        <w:rPr>
          <w:noProof/>
        </w:rPr>
        <w:fldChar w:fldCharType="separate"/>
      </w:r>
      <w:r>
        <w:rPr>
          <w:noProof/>
        </w:rPr>
        <w:t>8</w:t>
      </w:r>
      <w:r>
        <w:rPr>
          <w:noProof/>
        </w:rPr>
        <w:fldChar w:fldCharType="end"/>
      </w:r>
    </w:p>
    <w:p w14:paraId="50B570FE" w14:textId="45EE47BE" w:rsidR="00AD5769" w:rsidRDefault="00AD5769">
      <w:pPr>
        <w:pStyle w:val="TOC2"/>
        <w:rPr>
          <w:rFonts w:asciiTheme="minorHAnsi" w:eastAsiaTheme="minorEastAsia" w:hAnsiTheme="minorHAnsi" w:cstheme="minorBidi"/>
          <w:noProof/>
          <w:sz w:val="22"/>
          <w:szCs w:val="22"/>
        </w:rPr>
      </w:pPr>
      <w:r>
        <w:rPr>
          <w:noProof/>
          <w:lang w:bidi="fa-IR"/>
        </w:rPr>
        <w:t>Overview of approach and required data</w:t>
      </w:r>
      <w:r>
        <w:rPr>
          <w:noProof/>
        </w:rPr>
        <w:tab/>
      </w:r>
      <w:r>
        <w:rPr>
          <w:noProof/>
        </w:rPr>
        <w:fldChar w:fldCharType="begin"/>
      </w:r>
      <w:r>
        <w:rPr>
          <w:noProof/>
        </w:rPr>
        <w:instrText xml:space="preserve"> PAGEREF _Toc9778453 \h </w:instrText>
      </w:r>
      <w:r>
        <w:rPr>
          <w:noProof/>
        </w:rPr>
      </w:r>
      <w:r>
        <w:rPr>
          <w:noProof/>
        </w:rPr>
        <w:fldChar w:fldCharType="separate"/>
      </w:r>
      <w:r>
        <w:rPr>
          <w:noProof/>
        </w:rPr>
        <w:t>8</w:t>
      </w:r>
      <w:r>
        <w:rPr>
          <w:noProof/>
        </w:rPr>
        <w:fldChar w:fldCharType="end"/>
      </w:r>
    </w:p>
    <w:p w14:paraId="5BBCA965" w14:textId="698714A7" w:rsidR="00AD5769" w:rsidRDefault="00AD5769">
      <w:pPr>
        <w:pStyle w:val="TOC2"/>
        <w:rPr>
          <w:rFonts w:asciiTheme="minorHAnsi" w:eastAsiaTheme="minorEastAsia" w:hAnsiTheme="minorHAnsi" w:cstheme="minorBidi"/>
          <w:noProof/>
          <w:sz w:val="22"/>
          <w:szCs w:val="22"/>
        </w:rPr>
      </w:pPr>
      <w:r>
        <w:rPr>
          <w:noProof/>
          <w:lang w:bidi="fa-IR"/>
        </w:rPr>
        <w:t>Cost curves</w:t>
      </w:r>
      <w:r>
        <w:rPr>
          <w:noProof/>
        </w:rPr>
        <w:tab/>
      </w:r>
      <w:r>
        <w:rPr>
          <w:noProof/>
        </w:rPr>
        <w:fldChar w:fldCharType="begin"/>
      </w:r>
      <w:r>
        <w:rPr>
          <w:noProof/>
        </w:rPr>
        <w:instrText xml:space="preserve"> PAGEREF _Toc9778454 \h </w:instrText>
      </w:r>
      <w:r>
        <w:rPr>
          <w:noProof/>
        </w:rPr>
      </w:r>
      <w:r>
        <w:rPr>
          <w:noProof/>
        </w:rPr>
        <w:fldChar w:fldCharType="separate"/>
      </w:r>
      <w:r>
        <w:rPr>
          <w:noProof/>
        </w:rPr>
        <w:t>10</w:t>
      </w:r>
      <w:r>
        <w:rPr>
          <w:noProof/>
        </w:rPr>
        <w:fldChar w:fldCharType="end"/>
      </w:r>
    </w:p>
    <w:p w14:paraId="6FBB81D2" w14:textId="60ED413A" w:rsidR="00AD5769" w:rsidRDefault="00AD5769">
      <w:pPr>
        <w:pStyle w:val="TOC2"/>
        <w:rPr>
          <w:rFonts w:asciiTheme="minorHAnsi" w:eastAsiaTheme="minorEastAsia" w:hAnsiTheme="minorHAnsi" w:cstheme="minorBidi"/>
          <w:noProof/>
          <w:sz w:val="22"/>
          <w:szCs w:val="22"/>
        </w:rPr>
      </w:pPr>
      <w:r>
        <w:rPr>
          <w:noProof/>
          <w:lang w:bidi="fa-IR"/>
        </w:rPr>
        <w:t>Discount rates</w:t>
      </w:r>
      <w:r>
        <w:rPr>
          <w:noProof/>
        </w:rPr>
        <w:tab/>
      </w:r>
      <w:r>
        <w:rPr>
          <w:noProof/>
        </w:rPr>
        <w:fldChar w:fldCharType="begin"/>
      </w:r>
      <w:r>
        <w:rPr>
          <w:noProof/>
        </w:rPr>
        <w:instrText xml:space="preserve"> PAGEREF _Toc9778455 \h </w:instrText>
      </w:r>
      <w:r>
        <w:rPr>
          <w:noProof/>
        </w:rPr>
      </w:r>
      <w:r>
        <w:rPr>
          <w:noProof/>
        </w:rPr>
        <w:fldChar w:fldCharType="separate"/>
      </w:r>
      <w:r>
        <w:rPr>
          <w:noProof/>
        </w:rPr>
        <w:t>13</w:t>
      </w:r>
      <w:r>
        <w:rPr>
          <w:noProof/>
        </w:rPr>
        <w:fldChar w:fldCharType="end"/>
      </w:r>
    </w:p>
    <w:p w14:paraId="07705858" w14:textId="7AAE1C2C" w:rsidR="00AD5769" w:rsidRDefault="00AD5769">
      <w:pPr>
        <w:pStyle w:val="TOC2"/>
        <w:rPr>
          <w:rFonts w:asciiTheme="minorHAnsi" w:eastAsiaTheme="minorEastAsia" w:hAnsiTheme="minorHAnsi" w:cstheme="minorBidi"/>
          <w:noProof/>
          <w:sz w:val="22"/>
          <w:szCs w:val="22"/>
        </w:rPr>
      </w:pPr>
      <w:r>
        <w:rPr>
          <w:noProof/>
          <w:lang w:bidi="fa-IR"/>
        </w:rPr>
        <w:t>Results</w:t>
      </w:r>
      <w:r>
        <w:rPr>
          <w:noProof/>
        </w:rPr>
        <w:tab/>
      </w:r>
      <w:r>
        <w:rPr>
          <w:noProof/>
        </w:rPr>
        <w:fldChar w:fldCharType="begin"/>
      </w:r>
      <w:r>
        <w:rPr>
          <w:noProof/>
        </w:rPr>
        <w:instrText xml:space="preserve"> PAGEREF _Toc9778456 \h </w:instrText>
      </w:r>
      <w:r>
        <w:rPr>
          <w:noProof/>
        </w:rPr>
      </w:r>
      <w:r>
        <w:rPr>
          <w:noProof/>
        </w:rPr>
        <w:fldChar w:fldCharType="separate"/>
      </w:r>
      <w:r>
        <w:rPr>
          <w:noProof/>
        </w:rPr>
        <w:t>14</w:t>
      </w:r>
      <w:r>
        <w:rPr>
          <w:noProof/>
        </w:rPr>
        <w:fldChar w:fldCharType="end"/>
      </w:r>
    </w:p>
    <w:p w14:paraId="7BF9CF9A" w14:textId="14AACF2F" w:rsidR="00AD5769" w:rsidRDefault="00AD5769">
      <w:pPr>
        <w:pStyle w:val="TOC2"/>
        <w:rPr>
          <w:rFonts w:asciiTheme="minorHAnsi" w:eastAsiaTheme="minorEastAsia" w:hAnsiTheme="minorHAnsi" w:cstheme="minorBidi"/>
          <w:noProof/>
          <w:sz w:val="22"/>
          <w:szCs w:val="22"/>
        </w:rPr>
      </w:pPr>
      <w:r>
        <w:rPr>
          <w:noProof/>
          <w:lang w:bidi="fa-IR"/>
        </w:rPr>
        <w:t>Sensitivities</w:t>
      </w:r>
      <w:r>
        <w:rPr>
          <w:noProof/>
        </w:rPr>
        <w:tab/>
      </w:r>
      <w:r>
        <w:rPr>
          <w:noProof/>
        </w:rPr>
        <w:fldChar w:fldCharType="begin"/>
      </w:r>
      <w:r>
        <w:rPr>
          <w:noProof/>
        </w:rPr>
        <w:instrText xml:space="preserve"> PAGEREF _Toc9778457 \h </w:instrText>
      </w:r>
      <w:r>
        <w:rPr>
          <w:noProof/>
        </w:rPr>
      </w:r>
      <w:r>
        <w:rPr>
          <w:noProof/>
        </w:rPr>
        <w:fldChar w:fldCharType="separate"/>
      </w:r>
      <w:r>
        <w:rPr>
          <w:noProof/>
        </w:rPr>
        <w:t>16</w:t>
      </w:r>
      <w:r>
        <w:rPr>
          <w:noProof/>
        </w:rPr>
        <w:fldChar w:fldCharType="end"/>
      </w:r>
    </w:p>
    <w:p w14:paraId="399E4A85" w14:textId="574FC44B" w:rsidR="00AD5769" w:rsidRDefault="00AD5769">
      <w:pPr>
        <w:pStyle w:val="TOC2"/>
        <w:rPr>
          <w:rFonts w:asciiTheme="minorHAnsi" w:eastAsiaTheme="minorEastAsia" w:hAnsiTheme="minorHAnsi" w:cstheme="minorBidi"/>
          <w:noProof/>
          <w:sz w:val="22"/>
          <w:szCs w:val="22"/>
        </w:rPr>
      </w:pPr>
      <w:r>
        <w:rPr>
          <w:noProof/>
          <w:lang w:bidi="fa-IR"/>
        </w:rPr>
        <w:t>Final comment: a bottom-up approach?</w:t>
      </w:r>
      <w:r>
        <w:rPr>
          <w:noProof/>
        </w:rPr>
        <w:tab/>
      </w:r>
      <w:r>
        <w:rPr>
          <w:noProof/>
        </w:rPr>
        <w:fldChar w:fldCharType="begin"/>
      </w:r>
      <w:r>
        <w:rPr>
          <w:noProof/>
        </w:rPr>
        <w:instrText xml:space="preserve"> PAGEREF _Toc9778458 \h </w:instrText>
      </w:r>
      <w:r>
        <w:rPr>
          <w:noProof/>
        </w:rPr>
      </w:r>
      <w:r>
        <w:rPr>
          <w:noProof/>
        </w:rPr>
        <w:fldChar w:fldCharType="separate"/>
      </w:r>
      <w:r>
        <w:rPr>
          <w:noProof/>
        </w:rPr>
        <w:t>18</w:t>
      </w:r>
      <w:r>
        <w:rPr>
          <w:noProof/>
        </w:rPr>
        <w:fldChar w:fldCharType="end"/>
      </w:r>
    </w:p>
    <w:p w14:paraId="089DA8A9" w14:textId="602183B5" w:rsidR="00AD5769" w:rsidRDefault="00AD5769">
      <w:pPr>
        <w:pStyle w:val="TOC1"/>
        <w:rPr>
          <w:rFonts w:asciiTheme="minorHAnsi" w:eastAsiaTheme="minorEastAsia" w:hAnsiTheme="minorHAnsi" w:cstheme="minorBidi"/>
          <w:noProof/>
          <w:sz w:val="22"/>
          <w:szCs w:val="22"/>
        </w:rPr>
      </w:pPr>
      <w:r>
        <w:rPr>
          <w:noProof/>
          <w:lang w:bidi="fa-IR"/>
        </w:rPr>
        <w:t>4</w:t>
      </w:r>
      <w:r>
        <w:rPr>
          <w:rFonts w:asciiTheme="minorHAnsi" w:eastAsiaTheme="minorEastAsia" w:hAnsiTheme="minorHAnsi" w:cstheme="minorBidi"/>
          <w:noProof/>
          <w:sz w:val="22"/>
          <w:szCs w:val="22"/>
        </w:rPr>
        <w:tab/>
      </w:r>
      <w:r>
        <w:rPr>
          <w:noProof/>
          <w:lang w:bidi="fa-IR"/>
        </w:rPr>
        <w:t>Factors outside the models which impact the cost curve</w:t>
      </w:r>
      <w:r>
        <w:rPr>
          <w:noProof/>
        </w:rPr>
        <w:tab/>
      </w:r>
      <w:r>
        <w:rPr>
          <w:noProof/>
        </w:rPr>
        <w:fldChar w:fldCharType="begin"/>
      </w:r>
      <w:r>
        <w:rPr>
          <w:noProof/>
        </w:rPr>
        <w:instrText xml:space="preserve"> PAGEREF _Toc9778459 \h </w:instrText>
      </w:r>
      <w:r>
        <w:rPr>
          <w:noProof/>
        </w:rPr>
      </w:r>
      <w:r>
        <w:rPr>
          <w:noProof/>
        </w:rPr>
        <w:fldChar w:fldCharType="separate"/>
      </w:r>
      <w:r>
        <w:rPr>
          <w:noProof/>
        </w:rPr>
        <w:t>19</w:t>
      </w:r>
      <w:r>
        <w:rPr>
          <w:noProof/>
        </w:rPr>
        <w:fldChar w:fldCharType="end"/>
      </w:r>
    </w:p>
    <w:p w14:paraId="235C14CB" w14:textId="4400ADEA" w:rsidR="00AD5769" w:rsidRDefault="00AD5769">
      <w:pPr>
        <w:pStyle w:val="TOC2"/>
        <w:rPr>
          <w:rFonts w:asciiTheme="minorHAnsi" w:eastAsiaTheme="minorEastAsia" w:hAnsiTheme="minorHAnsi" w:cstheme="minorBidi"/>
          <w:noProof/>
          <w:sz w:val="22"/>
          <w:szCs w:val="22"/>
        </w:rPr>
      </w:pPr>
      <w:r>
        <w:rPr>
          <w:noProof/>
          <w:lang w:bidi="fa-IR"/>
        </w:rPr>
        <w:t>Adjustment costs</w:t>
      </w:r>
      <w:r>
        <w:rPr>
          <w:noProof/>
        </w:rPr>
        <w:tab/>
      </w:r>
      <w:r>
        <w:rPr>
          <w:noProof/>
        </w:rPr>
        <w:fldChar w:fldCharType="begin"/>
      </w:r>
      <w:r>
        <w:rPr>
          <w:noProof/>
        </w:rPr>
        <w:instrText xml:space="preserve"> PAGEREF _Toc9778460 \h </w:instrText>
      </w:r>
      <w:r>
        <w:rPr>
          <w:noProof/>
        </w:rPr>
      </w:r>
      <w:r>
        <w:rPr>
          <w:noProof/>
        </w:rPr>
        <w:fldChar w:fldCharType="separate"/>
      </w:r>
      <w:r>
        <w:rPr>
          <w:noProof/>
        </w:rPr>
        <w:t>19</w:t>
      </w:r>
      <w:r>
        <w:rPr>
          <w:noProof/>
        </w:rPr>
        <w:fldChar w:fldCharType="end"/>
      </w:r>
    </w:p>
    <w:p w14:paraId="1E966878" w14:textId="60420BE8" w:rsidR="00AD5769" w:rsidRDefault="00AD5769">
      <w:pPr>
        <w:pStyle w:val="TOC2"/>
        <w:rPr>
          <w:rFonts w:asciiTheme="minorHAnsi" w:eastAsiaTheme="minorEastAsia" w:hAnsiTheme="minorHAnsi" w:cstheme="minorBidi"/>
          <w:noProof/>
          <w:sz w:val="22"/>
          <w:szCs w:val="22"/>
        </w:rPr>
      </w:pPr>
      <w:r>
        <w:rPr>
          <w:noProof/>
          <w:lang w:bidi="fa-IR"/>
        </w:rPr>
        <w:t>Policy risk</w:t>
      </w:r>
      <w:r>
        <w:rPr>
          <w:noProof/>
        </w:rPr>
        <w:tab/>
      </w:r>
      <w:r>
        <w:rPr>
          <w:noProof/>
        </w:rPr>
        <w:fldChar w:fldCharType="begin"/>
      </w:r>
      <w:r>
        <w:rPr>
          <w:noProof/>
        </w:rPr>
        <w:instrText xml:space="preserve"> PAGEREF _Toc9778461 \h </w:instrText>
      </w:r>
      <w:r>
        <w:rPr>
          <w:noProof/>
        </w:rPr>
      </w:r>
      <w:r>
        <w:rPr>
          <w:noProof/>
        </w:rPr>
        <w:fldChar w:fldCharType="separate"/>
      </w:r>
      <w:r>
        <w:rPr>
          <w:noProof/>
        </w:rPr>
        <w:t>21</w:t>
      </w:r>
      <w:r>
        <w:rPr>
          <w:noProof/>
        </w:rPr>
        <w:fldChar w:fldCharType="end"/>
      </w:r>
    </w:p>
    <w:p w14:paraId="0B328A54" w14:textId="50E90F76" w:rsidR="00AD5769" w:rsidRDefault="00AD5769">
      <w:pPr>
        <w:pStyle w:val="TOC2"/>
        <w:rPr>
          <w:rFonts w:asciiTheme="minorHAnsi" w:eastAsiaTheme="minorEastAsia" w:hAnsiTheme="minorHAnsi" w:cstheme="minorBidi"/>
          <w:noProof/>
          <w:sz w:val="22"/>
          <w:szCs w:val="22"/>
        </w:rPr>
      </w:pPr>
      <w:r>
        <w:rPr>
          <w:noProof/>
          <w:lang w:bidi="fa-IR"/>
        </w:rPr>
        <w:t>Other factors</w:t>
      </w:r>
      <w:r>
        <w:rPr>
          <w:noProof/>
        </w:rPr>
        <w:tab/>
      </w:r>
      <w:r>
        <w:rPr>
          <w:noProof/>
        </w:rPr>
        <w:fldChar w:fldCharType="begin"/>
      </w:r>
      <w:r>
        <w:rPr>
          <w:noProof/>
        </w:rPr>
        <w:instrText xml:space="preserve"> PAGEREF _Toc9778462 \h </w:instrText>
      </w:r>
      <w:r>
        <w:rPr>
          <w:noProof/>
        </w:rPr>
      </w:r>
      <w:r>
        <w:rPr>
          <w:noProof/>
        </w:rPr>
        <w:fldChar w:fldCharType="separate"/>
      </w:r>
      <w:r>
        <w:rPr>
          <w:noProof/>
        </w:rPr>
        <w:t>21</w:t>
      </w:r>
      <w:r>
        <w:rPr>
          <w:noProof/>
        </w:rPr>
        <w:fldChar w:fldCharType="end"/>
      </w:r>
    </w:p>
    <w:p w14:paraId="2CF17DFA" w14:textId="19A4A51D" w:rsidR="00AD5769" w:rsidRDefault="00AD5769">
      <w:pPr>
        <w:pStyle w:val="TOC1"/>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_Toc9778463 \h </w:instrText>
      </w:r>
      <w:r>
        <w:rPr>
          <w:noProof/>
        </w:rPr>
      </w:r>
      <w:r>
        <w:rPr>
          <w:noProof/>
        </w:rPr>
        <w:fldChar w:fldCharType="separate"/>
      </w:r>
      <w:r>
        <w:rPr>
          <w:noProof/>
        </w:rPr>
        <w:t>23</w:t>
      </w:r>
      <w:r>
        <w:rPr>
          <w:noProof/>
        </w:rPr>
        <w:fldChar w:fldCharType="end"/>
      </w:r>
    </w:p>
    <w:p w14:paraId="477AA1E8" w14:textId="7C9F44CF" w:rsidR="00AD5769" w:rsidRDefault="00AD5769">
      <w:pPr>
        <w:pStyle w:val="TOC1"/>
        <w:rPr>
          <w:rFonts w:asciiTheme="minorHAnsi" w:eastAsiaTheme="minorEastAsia" w:hAnsiTheme="minorHAnsi" w:cstheme="minorBidi"/>
          <w:noProof/>
          <w:sz w:val="22"/>
          <w:szCs w:val="22"/>
        </w:rPr>
      </w:pPr>
      <w:r>
        <w:rPr>
          <w:noProof/>
          <w:lang w:bidi="fa-IR"/>
        </w:rPr>
        <w:t>A</w:t>
      </w:r>
      <w:r>
        <w:rPr>
          <w:rFonts w:asciiTheme="minorHAnsi" w:eastAsiaTheme="minorEastAsia" w:hAnsiTheme="minorHAnsi" w:cstheme="minorBidi"/>
          <w:noProof/>
          <w:sz w:val="22"/>
          <w:szCs w:val="22"/>
        </w:rPr>
        <w:tab/>
      </w:r>
      <w:r>
        <w:rPr>
          <w:noProof/>
          <w:lang w:bidi="fa-IR"/>
        </w:rPr>
        <w:t>Detailed elasticity calculations</w:t>
      </w:r>
      <w:r>
        <w:rPr>
          <w:noProof/>
        </w:rPr>
        <w:tab/>
      </w:r>
      <w:r>
        <w:rPr>
          <w:noProof/>
        </w:rPr>
        <w:fldChar w:fldCharType="begin"/>
      </w:r>
      <w:r>
        <w:rPr>
          <w:noProof/>
        </w:rPr>
        <w:instrText xml:space="preserve"> PAGEREF _Toc9778464 \h </w:instrText>
      </w:r>
      <w:r>
        <w:rPr>
          <w:noProof/>
        </w:rPr>
      </w:r>
      <w:r>
        <w:rPr>
          <w:noProof/>
        </w:rPr>
        <w:fldChar w:fldCharType="separate"/>
      </w:r>
      <w:r>
        <w:rPr>
          <w:noProof/>
        </w:rPr>
        <w:t>24</w:t>
      </w:r>
      <w:r>
        <w:rPr>
          <w:noProof/>
        </w:rPr>
        <w:fldChar w:fldCharType="end"/>
      </w:r>
    </w:p>
    <w:p w14:paraId="46A22310" w14:textId="24E96473" w:rsidR="00AD5769" w:rsidRDefault="00AD5769">
      <w:pPr>
        <w:pStyle w:val="TOC1"/>
        <w:rPr>
          <w:rFonts w:asciiTheme="minorHAnsi" w:eastAsiaTheme="minorEastAsia" w:hAnsiTheme="minorHAnsi" w:cstheme="minorBidi"/>
          <w:noProof/>
          <w:sz w:val="22"/>
          <w:szCs w:val="22"/>
        </w:rPr>
      </w:pPr>
      <w:r>
        <w:rPr>
          <w:noProof/>
          <w:lang w:bidi="fa-IR"/>
        </w:rPr>
        <w:t>B</w:t>
      </w:r>
      <w:r>
        <w:rPr>
          <w:rFonts w:asciiTheme="minorHAnsi" w:eastAsiaTheme="minorEastAsia" w:hAnsiTheme="minorHAnsi" w:cstheme="minorBidi"/>
          <w:noProof/>
          <w:sz w:val="22"/>
          <w:szCs w:val="22"/>
        </w:rPr>
        <w:tab/>
      </w:r>
      <w:r>
        <w:rPr>
          <w:noProof/>
          <w:lang w:bidi="fa-IR"/>
        </w:rPr>
        <w:t>Sensitivity analysis</w:t>
      </w:r>
      <w:r>
        <w:rPr>
          <w:noProof/>
        </w:rPr>
        <w:tab/>
      </w:r>
      <w:r>
        <w:rPr>
          <w:noProof/>
        </w:rPr>
        <w:fldChar w:fldCharType="begin"/>
      </w:r>
      <w:r>
        <w:rPr>
          <w:noProof/>
        </w:rPr>
        <w:instrText xml:space="preserve"> PAGEREF _Toc9778465 \h </w:instrText>
      </w:r>
      <w:r>
        <w:rPr>
          <w:noProof/>
        </w:rPr>
      </w:r>
      <w:r>
        <w:rPr>
          <w:noProof/>
        </w:rPr>
        <w:fldChar w:fldCharType="separate"/>
      </w:r>
      <w:r>
        <w:rPr>
          <w:noProof/>
        </w:rPr>
        <w:t>29</w:t>
      </w:r>
      <w:r>
        <w:rPr>
          <w:noProof/>
        </w:rPr>
        <w:fldChar w:fldCharType="end"/>
      </w:r>
    </w:p>
    <w:p w14:paraId="5527F839" w14:textId="58DF611D" w:rsidR="00AD5769" w:rsidRDefault="00AD5769">
      <w:pPr>
        <w:pStyle w:val="TOC1"/>
        <w:rPr>
          <w:rFonts w:asciiTheme="minorHAnsi" w:eastAsiaTheme="minorEastAsia" w:hAnsiTheme="minorHAnsi" w:cstheme="minorBidi"/>
          <w:noProof/>
          <w:sz w:val="22"/>
          <w:szCs w:val="22"/>
        </w:rPr>
      </w:pPr>
      <w:r>
        <w:rPr>
          <w:noProof/>
          <w:lang w:bidi="fa-IR"/>
        </w:rPr>
        <w:t>C</w:t>
      </w:r>
      <w:r>
        <w:rPr>
          <w:rFonts w:asciiTheme="minorHAnsi" w:eastAsiaTheme="minorEastAsia" w:hAnsiTheme="minorHAnsi" w:cstheme="minorBidi"/>
          <w:noProof/>
          <w:sz w:val="22"/>
          <w:szCs w:val="22"/>
        </w:rPr>
        <w:tab/>
      </w:r>
      <w:r>
        <w:rPr>
          <w:noProof/>
          <w:lang w:bidi="fa-IR"/>
        </w:rPr>
        <w:t>Growth rates</w:t>
      </w:r>
      <w:r>
        <w:rPr>
          <w:noProof/>
        </w:rPr>
        <w:tab/>
      </w:r>
      <w:r>
        <w:rPr>
          <w:noProof/>
        </w:rPr>
        <w:fldChar w:fldCharType="begin"/>
      </w:r>
      <w:r>
        <w:rPr>
          <w:noProof/>
        </w:rPr>
        <w:instrText xml:space="preserve"> PAGEREF _Toc9778466 \h </w:instrText>
      </w:r>
      <w:r>
        <w:rPr>
          <w:noProof/>
        </w:rPr>
      </w:r>
      <w:r>
        <w:rPr>
          <w:noProof/>
        </w:rPr>
        <w:fldChar w:fldCharType="separate"/>
      </w:r>
      <w:r>
        <w:rPr>
          <w:noProof/>
        </w:rPr>
        <w:t>32</w:t>
      </w:r>
      <w:r>
        <w:rPr>
          <w:noProof/>
        </w:rPr>
        <w:fldChar w:fldCharType="end"/>
      </w:r>
    </w:p>
    <w:p w14:paraId="208D7CC1" w14:textId="1B5C93ED" w:rsidR="00650F3E" w:rsidRPr="002B76B3" w:rsidRDefault="00650F3E" w:rsidP="004E7620">
      <w:pPr>
        <w:pStyle w:val="BodyText"/>
        <w:spacing w:before="480"/>
        <w:rPr>
          <w:rFonts w:ascii="Franklin Gothic Demi" w:hAnsi="Franklin Gothic Demi"/>
          <w:caps/>
          <w:spacing w:val="10"/>
          <w:sz w:val="22"/>
        </w:rPr>
      </w:pPr>
      <w:r w:rsidRPr="00876B40">
        <w:fldChar w:fldCharType="end"/>
      </w:r>
      <w:r w:rsidRPr="002B76B3">
        <w:rPr>
          <w:rFonts w:ascii="Franklin Gothic Demi" w:hAnsi="Franklin Gothic Demi"/>
          <w:caps/>
          <w:spacing w:val="10"/>
          <w:sz w:val="22"/>
        </w:rPr>
        <w:t>Boxes, charts and tables</w:t>
      </w:r>
    </w:p>
    <w:p w14:paraId="646205DC" w14:textId="67BA9BBA" w:rsidR="00AD5769" w:rsidRDefault="00004633">
      <w:pPr>
        <w:pStyle w:val="TableofFigures"/>
        <w:rPr>
          <w:rFonts w:eastAsiaTheme="minorEastAsia" w:cstheme="minorBidi"/>
          <w:noProof/>
          <w:sz w:val="22"/>
          <w:szCs w:val="22"/>
        </w:rPr>
      </w:pPr>
      <w:r>
        <w:fldChar w:fldCharType="begin"/>
      </w:r>
      <w:r w:rsidRPr="001C4308">
        <w:instrText xml:space="preserve"> TOC \t "Caption" \c </w:instrText>
      </w:r>
      <w:r>
        <w:fldChar w:fldCharType="separate"/>
      </w:r>
      <w:r w:rsidR="00AD5769">
        <w:rPr>
          <w:noProof/>
        </w:rPr>
        <w:t>1</w:t>
      </w:r>
      <w:r w:rsidR="00AD5769">
        <w:rPr>
          <w:rFonts w:eastAsiaTheme="minorEastAsia" w:cstheme="minorBidi"/>
          <w:noProof/>
          <w:sz w:val="22"/>
          <w:szCs w:val="22"/>
        </w:rPr>
        <w:tab/>
      </w:r>
      <w:r w:rsidR="00AD5769">
        <w:rPr>
          <w:noProof/>
        </w:rPr>
        <w:t>Interaction of discount rate and cost curve: summary</w:t>
      </w:r>
      <w:r w:rsidR="00AD5769">
        <w:rPr>
          <w:noProof/>
        </w:rPr>
        <w:tab/>
      </w:r>
      <w:r w:rsidR="00AD5769">
        <w:rPr>
          <w:noProof/>
        </w:rPr>
        <w:fldChar w:fldCharType="begin"/>
      </w:r>
      <w:r w:rsidR="00AD5769">
        <w:rPr>
          <w:noProof/>
        </w:rPr>
        <w:instrText xml:space="preserve"> PAGEREF _Toc9778467 \h </w:instrText>
      </w:r>
      <w:r w:rsidR="00AD5769">
        <w:rPr>
          <w:noProof/>
        </w:rPr>
      </w:r>
      <w:r w:rsidR="00AD5769">
        <w:rPr>
          <w:noProof/>
        </w:rPr>
        <w:fldChar w:fldCharType="separate"/>
      </w:r>
      <w:r w:rsidR="00AD5769">
        <w:rPr>
          <w:noProof/>
        </w:rPr>
        <w:t>2</w:t>
      </w:r>
      <w:r w:rsidR="00AD5769">
        <w:rPr>
          <w:noProof/>
        </w:rPr>
        <w:fldChar w:fldCharType="end"/>
      </w:r>
    </w:p>
    <w:p w14:paraId="1F87BB44" w14:textId="3B9E7595" w:rsidR="00AD5769" w:rsidRDefault="00AD5769">
      <w:pPr>
        <w:pStyle w:val="TableofFigures"/>
        <w:rPr>
          <w:rFonts w:eastAsiaTheme="minorEastAsia" w:cstheme="minorBidi"/>
          <w:noProof/>
          <w:sz w:val="22"/>
          <w:szCs w:val="22"/>
        </w:rPr>
      </w:pPr>
      <w:r>
        <w:rPr>
          <w:noProof/>
        </w:rPr>
        <w:t>1.1</w:t>
      </w:r>
      <w:r>
        <w:rPr>
          <w:rFonts w:eastAsiaTheme="minorEastAsia" w:cstheme="minorBidi"/>
          <w:noProof/>
          <w:sz w:val="22"/>
          <w:szCs w:val="22"/>
        </w:rPr>
        <w:tab/>
      </w:r>
      <w:r>
        <w:rPr>
          <w:noProof/>
        </w:rPr>
        <w:t>Victorian emissions: the panel’s reduction paths (Mt CO</w:t>
      </w:r>
      <w:r w:rsidRPr="00504735">
        <w:rPr>
          <w:noProof/>
          <w:vertAlign w:val="subscript"/>
        </w:rPr>
        <w:t>2</w:t>
      </w:r>
      <w:r>
        <w:rPr>
          <w:noProof/>
        </w:rPr>
        <w:t>e)</w:t>
      </w:r>
      <w:r>
        <w:rPr>
          <w:noProof/>
        </w:rPr>
        <w:tab/>
      </w:r>
      <w:r>
        <w:rPr>
          <w:noProof/>
        </w:rPr>
        <w:fldChar w:fldCharType="begin"/>
      </w:r>
      <w:r>
        <w:rPr>
          <w:noProof/>
        </w:rPr>
        <w:instrText xml:space="preserve"> PAGEREF _Toc9778468 \h </w:instrText>
      </w:r>
      <w:r>
        <w:rPr>
          <w:noProof/>
        </w:rPr>
      </w:r>
      <w:r>
        <w:rPr>
          <w:noProof/>
        </w:rPr>
        <w:fldChar w:fldCharType="separate"/>
      </w:r>
      <w:r>
        <w:rPr>
          <w:noProof/>
        </w:rPr>
        <w:t>5</w:t>
      </w:r>
      <w:r>
        <w:rPr>
          <w:noProof/>
        </w:rPr>
        <w:fldChar w:fldCharType="end"/>
      </w:r>
    </w:p>
    <w:p w14:paraId="3527DA39" w14:textId="7AFC6639" w:rsidR="00AD5769" w:rsidRDefault="00AD5769">
      <w:pPr>
        <w:pStyle w:val="TableofFigures"/>
        <w:rPr>
          <w:rFonts w:eastAsiaTheme="minorEastAsia" w:cstheme="minorBidi"/>
          <w:noProof/>
          <w:sz w:val="22"/>
          <w:szCs w:val="22"/>
        </w:rPr>
      </w:pPr>
      <w:r>
        <w:rPr>
          <w:noProof/>
        </w:rPr>
        <w:t>3.1</w:t>
      </w:r>
      <w:r>
        <w:rPr>
          <w:rFonts w:eastAsiaTheme="minorEastAsia" w:cstheme="minorBidi"/>
          <w:noProof/>
          <w:sz w:val="22"/>
          <w:szCs w:val="22"/>
        </w:rPr>
        <w:tab/>
      </w:r>
      <w:r>
        <w:rPr>
          <w:noProof/>
        </w:rPr>
        <w:t>Emissions: history and baseline scenarios by modeller (Mt CO</w:t>
      </w:r>
      <w:r w:rsidRPr="00504735">
        <w:rPr>
          <w:noProof/>
          <w:vertAlign w:val="subscript"/>
        </w:rPr>
        <w:t>2</w:t>
      </w:r>
      <w:r>
        <w:rPr>
          <w:noProof/>
        </w:rPr>
        <w:t>e)</w:t>
      </w:r>
      <w:r>
        <w:rPr>
          <w:noProof/>
        </w:rPr>
        <w:tab/>
      </w:r>
      <w:r>
        <w:rPr>
          <w:noProof/>
        </w:rPr>
        <w:fldChar w:fldCharType="begin"/>
      </w:r>
      <w:r>
        <w:rPr>
          <w:noProof/>
        </w:rPr>
        <w:instrText xml:space="preserve"> PAGEREF _Toc9778469 \h </w:instrText>
      </w:r>
      <w:r>
        <w:rPr>
          <w:noProof/>
        </w:rPr>
      </w:r>
      <w:r>
        <w:rPr>
          <w:noProof/>
        </w:rPr>
        <w:fldChar w:fldCharType="separate"/>
      </w:r>
      <w:r>
        <w:rPr>
          <w:noProof/>
        </w:rPr>
        <w:t>9</w:t>
      </w:r>
      <w:r>
        <w:rPr>
          <w:noProof/>
        </w:rPr>
        <w:fldChar w:fldCharType="end"/>
      </w:r>
    </w:p>
    <w:p w14:paraId="54EB913A" w14:textId="591BD6D6" w:rsidR="00AD5769" w:rsidRDefault="00AD5769">
      <w:pPr>
        <w:pStyle w:val="TableofFigures"/>
        <w:rPr>
          <w:rFonts w:eastAsiaTheme="minorEastAsia" w:cstheme="minorBidi"/>
          <w:noProof/>
          <w:sz w:val="22"/>
          <w:szCs w:val="22"/>
        </w:rPr>
      </w:pPr>
      <w:r>
        <w:rPr>
          <w:noProof/>
        </w:rPr>
        <w:t>3.2</w:t>
      </w:r>
      <w:r>
        <w:rPr>
          <w:rFonts w:eastAsiaTheme="minorEastAsia" w:cstheme="minorBidi"/>
          <w:noProof/>
          <w:sz w:val="22"/>
          <w:szCs w:val="22"/>
        </w:rPr>
        <w:tab/>
      </w:r>
      <w:r>
        <w:rPr>
          <w:noProof/>
        </w:rPr>
        <w:t>Victorian emissions (per cent deviation from baseline)</w:t>
      </w:r>
      <w:r>
        <w:rPr>
          <w:noProof/>
        </w:rPr>
        <w:tab/>
      </w:r>
      <w:r>
        <w:rPr>
          <w:noProof/>
        </w:rPr>
        <w:fldChar w:fldCharType="begin"/>
      </w:r>
      <w:r>
        <w:rPr>
          <w:noProof/>
        </w:rPr>
        <w:instrText xml:space="preserve"> PAGEREF _Toc9778470 \h </w:instrText>
      </w:r>
      <w:r>
        <w:rPr>
          <w:noProof/>
        </w:rPr>
      </w:r>
      <w:r>
        <w:rPr>
          <w:noProof/>
        </w:rPr>
        <w:fldChar w:fldCharType="separate"/>
      </w:r>
      <w:r>
        <w:rPr>
          <w:noProof/>
        </w:rPr>
        <w:t>10</w:t>
      </w:r>
      <w:r>
        <w:rPr>
          <w:noProof/>
        </w:rPr>
        <w:fldChar w:fldCharType="end"/>
      </w:r>
    </w:p>
    <w:p w14:paraId="6C2F33B6" w14:textId="7D86159C" w:rsidR="00AD5769" w:rsidRDefault="00AD5769">
      <w:pPr>
        <w:pStyle w:val="TableofFigures"/>
        <w:rPr>
          <w:rFonts w:eastAsiaTheme="minorEastAsia" w:cstheme="minorBidi"/>
          <w:noProof/>
          <w:sz w:val="22"/>
          <w:szCs w:val="22"/>
        </w:rPr>
      </w:pPr>
      <w:r>
        <w:rPr>
          <w:noProof/>
        </w:rPr>
        <w:t>3.3</w:t>
      </w:r>
      <w:r>
        <w:rPr>
          <w:rFonts w:eastAsiaTheme="minorEastAsia" w:cstheme="minorBidi"/>
          <w:noProof/>
          <w:sz w:val="22"/>
          <w:szCs w:val="22"/>
        </w:rPr>
        <w:tab/>
      </w:r>
      <w:r>
        <w:rPr>
          <w:noProof/>
        </w:rPr>
        <w:t>Cost curves for the reduction of emissions</w:t>
      </w:r>
      <w:r>
        <w:rPr>
          <w:noProof/>
        </w:rPr>
        <w:tab/>
      </w:r>
      <w:r>
        <w:rPr>
          <w:noProof/>
        </w:rPr>
        <w:fldChar w:fldCharType="begin"/>
      </w:r>
      <w:r>
        <w:rPr>
          <w:noProof/>
        </w:rPr>
        <w:instrText xml:space="preserve"> PAGEREF _Toc9778471 \h </w:instrText>
      </w:r>
      <w:r>
        <w:rPr>
          <w:noProof/>
        </w:rPr>
      </w:r>
      <w:r>
        <w:rPr>
          <w:noProof/>
        </w:rPr>
        <w:fldChar w:fldCharType="separate"/>
      </w:r>
      <w:r>
        <w:rPr>
          <w:noProof/>
        </w:rPr>
        <w:t>11</w:t>
      </w:r>
      <w:r>
        <w:rPr>
          <w:noProof/>
        </w:rPr>
        <w:fldChar w:fldCharType="end"/>
      </w:r>
    </w:p>
    <w:p w14:paraId="69DFBE8E" w14:textId="706D3171" w:rsidR="00AD5769" w:rsidRDefault="00AD5769">
      <w:pPr>
        <w:pStyle w:val="TableofFigures"/>
        <w:rPr>
          <w:rFonts w:eastAsiaTheme="minorEastAsia" w:cstheme="minorBidi"/>
          <w:noProof/>
          <w:sz w:val="22"/>
          <w:szCs w:val="22"/>
        </w:rPr>
      </w:pPr>
      <w:r>
        <w:rPr>
          <w:noProof/>
        </w:rPr>
        <w:t>3.4</w:t>
      </w:r>
      <w:r>
        <w:rPr>
          <w:rFonts w:eastAsiaTheme="minorEastAsia" w:cstheme="minorBidi"/>
          <w:noProof/>
          <w:sz w:val="22"/>
          <w:szCs w:val="22"/>
        </w:rPr>
        <w:tab/>
      </w:r>
      <w:r>
        <w:rPr>
          <w:noProof/>
        </w:rPr>
        <w:t>Alternative discount rates</w:t>
      </w:r>
      <w:r>
        <w:rPr>
          <w:noProof/>
        </w:rPr>
        <w:tab/>
      </w:r>
      <w:r>
        <w:rPr>
          <w:noProof/>
        </w:rPr>
        <w:fldChar w:fldCharType="begin"/>
      </w:r>
      <w:r>
        <w:rPr>
          <w:noProof/>
        </w:rPr>
        <w:instrText xml:space="preserve"> PAGEREF _Toc9778472 \h </w:instrText>
      </w:r>
      <w:r>
        <w:rPr>
          <w:noProof/>
        </w:rPr>
      </w:r>
      <w:r>
        <w:rPr>
          <w:noProof/>
        </w:rPr>
        <w:fldChar w:fldCharType="separate"/>
      </w:r>
      <w:r>
        <w:rPr>
          <w:noProof/>
        </w:rPr>
        <w:t>13</w:t>
      </w:r>
      <w:r>
        <w:rPr>
          <w:noProof/>
        </w:rPr>
        <w:fldChar w:fldCharType="end"/>
      </w:r>
    </w:p>
    <w:p w14:paraId="479E4E16" w14:textId="13B9A63D" w:rsidR="00AD5769" w:rsidRDefault="00AD5769">
      <w:pPr>
        <w:pStyle w:val="TableofFigures"/>
        <w:rPr>
          <w:rFonts w:eastAsiaTheme="minorEastAsia" w:cstheme="minorBidi"/>
          <w:noProof/>
          <w:sz w:val="22"/>
          <w:szCs w:val="22"/>
        </w:rPr>
      </w:pPr>
      <w:r>
        <w:rPr>
          <w:noProof/>
        </w:rPr>
        <w:t>3.5</w:t>
      </w:r>
      <w:r>
        <w:rPr>
          <w:rFonts w:eastAsiaTheme="minorEastAsia" w:cstheme="minorBidi"/>
          <w:noProof/>
          <w:sz w:val="22"/>
          <w:szCs w:val="22"/>
        </w:rPr>
        <w:tab/>
      </w:r>
      <w:r>
        <w:rPr>
          <w:noProof/>
        </w:rPr>
        <w:t>Deviation in GSI from baseline (undiscounted), implied by panel emissions reduction scenarios using a flat cost curve</w:t>
      </w:r>
      <w:r>
        <w:rPr>
          <w:noProof/>
        </w:rPr>
        <w:tab/>
      </w:r>
      <w:r>
        <w:rPr>
          <w:noProof/>
        </w:rPr>
        <w:fldChar w:fldCharType="begin"/>
      </w:r>
      <w:r>
        <w:rPr>
          <w:noProof/>
        </w:rPr>
        <w:instrText xml:space="preserve"> PAGEREF _Toc9778473 \h </w:instrText>
      </w:r>
      <w:r>
        <w:rPr>
          <w:noProof/>
        </w:rPr>
      </w:r>
      <w:r>
        <w:rPr>
          <w:noProof/>
        </w:rPr>
        <w:fldChar w:fldCharType="separate"/>
      </w:r>
      <w:r>
        <w:rPr>
          <w:noProof/>
        </w:rPr>
        <w:t>14</w:t>
      </w:r>
      <w:r>
        <w:rPr>
          <w:noProof/>
        </w:rPr>
        <w:fldChar w:fldCharType="end"/>
      </w:r>
    </w:p>
    <w:p w14:paraId="1F268F8A" w14:textId="36D2D72E" w:rsidR="00AD5769" w:rsidRDefault="00AD5769">
      <w:pPr>
        <w:pStyle w:val="TableofFigures"/>
        <w:rPr>
          <w:rFonts w:eastAsiaTheme="minorEastAsia" w:cstheme="minorBidi"/>
          <w:noProof/>
          <w:sz w:val="22"/>
          <w:szCs w:val="22"/>
        </w:rPr>
      </w:pPr>
      <w:r>
        <w:rPr>
          <w:noProof/>
        </w:rPr>
        <w:t>3.6</w:t>
      </w:r>
      <w:r>
        <w:rPr>
          <w:rFonts w:eastAsiaTheme="minorEastAsia" w:cstheme="minorBidi"/>
          <w:noProof/>
          <w:sz w:val="22"/>
          <w:szCs w:val="22"/>
        </w:rPr>
        <w:tab/>
      </w:r>
      <w:r>
        <w:rPr>
          <w:noProof/>
        </w:rPr>
        <w:t>Deviation in GSI from baseline (undiscounted), implied by panel emissions reduction scenarios using a steep cost curve</w:t>
      </w:r>
      <w:r>
        <w:rPr>
          <w:noProof/>
        </w:rPr>
        <w:tab/>
      </w:r>
      <w:r>
        <w:rPr>
          <w:noProof/>
        </w:rPr>
        <w:fldChar w:fldCharType="begin"/>
      </w:r>
      <w:r>
        <w:rPr>
          <w:noProof/>
        </w:rPr>
        <w:instrText xml:space="preserve"> PAGEREF _Toc9778474 \h </w:instrText>
      </w:r>
      <w:r>
        <w:rPr>
          <w:noProof/>
        </w:rPr>
      </w:r>
      <w:r>
        <w:rPr>
          <w:noProof/>
        </w:rPr>
        <w:fldChar w:fldCharType="separate"/>
      </w:r>
      <w:r>
        <w:rPr>
          <w:noProof/>
        </w:rPr>
        <w:t>15</w:t>
      </w:r>
      <w:r>
        <w:rPr>
          <w:noProof/>
        </w:rPr>
        <w:fldChar w:fldCharType="end"/>
      </w:r>
    </w:p>
    <w:p w14:paraId="255D6A0A" w14:textId="0BC40018" w:rsidR="00AD5769" w:rsidRDefault="00AD5769">
      <w:pPr>
        <w:pStyle w:val="TableofFigures"/>
        <w:rPr>
          <w:rFonts w:eastAsiaTheme="minorEastAsia" w:cstheme="minorBidi"/>
          <w:noProof/>
          <w:sz w:val="22"/>
          <w:szCs w:val="22"/>
        </w:rPr>
      </w:pPr>
      <w:r>
        <w:rPr>
          <w:noProof/>
        </w:rPr>
        <w:lastRenderedPageBreak/>
        <w:t>3.7</w:t>
      </w:r>
      <w:r>
        <w:rPr>
          <w:rFonts w:eastAsiaTheme="minorEastAsia" w:cstheme="minorBidi"/>
          <w:noProof/>
          <w:sz w:val="22"/>
          <w:szCs w:val="22"/>
        </w:rPr>
        <w:tab/>
      </w:r>
      <w:r>
        <w:rPr>
          <w:noProof/>
        </w:rPr>
        <w:t>Discounted change in GSI due to emissions reduction between 2020 and 2050 (share of baseline GSI 2020-2050), by scenario</w:t>
      </w:r>
      <w:r>
        <w:rPr>
          <w:noProof/>
        </w:rPr>
        <w:tab/>
      </w:r>
      <w:r>
        <w:rPr>
          <w:noProof/>
        </w:rPr>
        <w:fldChar w:fldCharType="begin"/>
      </w:r>
      <w:r>
        <w:rPr>
          <w:noProof/>
        </w:rPr>
        <w:instrText xml:space="preserve"> PAGEREF _Toc9778475 \h </w:instrText>
      </w:r>
      <w:r>
        <w:rPr>
          <w:noProof/>
        </w:rPr>
      </w:r>
      <w:r>
        <w:rPr>
          <w:noProof/>
        </w:rPr>
        <w:fldChar w:fldCharType="separate"/>
      </w:r>
      <w:r>
        <w:rPr>
          <w:noProof/>
        </w:rPr>
        <w:t>16</w:t>
      </w:r>
      <w:r>
        <w:rPr>
          <w:noProof/>
        </w:rPr>
        <w:fldChar w:fldCharType="end"/>
      </w:r>
    </w:p>
    <w:p w14:paraId="0BB9D15C" w14:textId="43EB4599" w:rsidR="00AD5769" w:rsidRDefault="00AD5769">
      <w:pPr>
        <w:pStyle w:val="TableofFigures"/>
        <w:rPr>
          <w:rFonts w:eastAsiaTheme="minorEastAsia" w:cstheme="minorBidi"/>
          <w:noProof/>
          <w:sz w:val="22"/>
          <w:szCs w:val="22"/>
        </w:rPr>
      </w:pPr>
      <w:r>
        <w:rPr>
          <w:noProof/>
        </w:rPr>
        <w:t>3.8</w:t>
      </w:r>
      <w:r>
        <w:rPr>
          <w:rFonts w:eastAsiaTheme="minorEastAsia" w:cstheme="minorBidi"/>
          <w:noProof/>
          <w:sz w:val="22"/>
          <w:szCs w:val="22"/>
        </w:rPr>
        <w:tab/>
      </w:r>
      <w:r>
        <w:rPr>
          <w:noProof/>
        </w:rPr>
        <w:t>Cost curves for the reduction of emissions (by jurisdiction level)</w:t>
      </w:r>
      <w:r>
        <w:rPr>
          <w:noProof/>
        </w:rPr>
        <w:tab/>
      </w:r>
      <w:r>
        <w:rPr>
          <w:noProof/>
        </w:rPr>
        <w:fldChar w:fldCharType="begin"/>
      </w:r>
      <w:r>
        <w:rPr>
          <w:noProof/>
        </w:rPr>
        <w:instrText xml:space="preserve"> PAGEREF _Toc9778476 \h </w:instrText>
      </w:r>
      <w:r>
        <w:rPr>
          <w:noProof/>
        </w:rPr>
      </w:r>
      <w:r>
        <w:rPr>
          <w:noProof/>
        </w:rPr>
        <w:fldChar w:fldCharType="separate"/>
      </w:r>
      <w:r>
        <w:rPr>
          <w:noProof/>
        </w:rPr>
        <w:t>17</w:t>
      </w:r>
      <w:r>
        <w:rPr>
          <w:noProof/>
        </w:rPr>
        <w:fldChar w:fldCharType="end"/>
      </w:r>
    </w:p>
    <w:p w14:paraId="72A17416" w14:textId="1A7628D9" w:rsidR="00AD5769" w:rsidRDefault="00AD5769">
      <w:pPr>
        <w:pStyle w:val="TableofFigures"/>
        <w:rPr>
          <w:rFonts w:eastAsiaTheme="minorEastAsia" w:cstheme="minorBidi"/>
          <w:noProof/>
          <w:sz w:val="22"/>
          <w:szCs w:val="22"/>
        </w:rPr>
      </w:pPr>
      <w:r>
        <w:rPr>
          <w:noProof/>
        </w:rPr>
        <w:t>4.1</w:t>
      </w:r>
      <w:r>
        <w:rPr>
          <w:rFonts w:eastAsiaTheme="minorEastAsia" w:cstheme="minorBidi"/>
          <w:noProof/>
          <w:sz w:val="22"/>
          <w:szCs w:val="22"/>
        </w:rPr>
        <w:tab/>
      </w:r>
      <w:r>
        <w:rPr>
          <w:noProof/>
        </w:rPr>
        <w:t>Implication for timing of reductions of factors not included in CGE modelling</w:t>
      </w:r>
      <w:r>
        <w:rPr>
          <w:noProof/>
        </w:rPr>
        <w:tab/>
      </w:r>
      <w:r>
        <w:rPr>
          <w:noProof/>
        </w:rPr>
        <w:fldChar w:fldCharType="begin"/>
      </w:r>
      <w:r>
        <w:rPr>
          <w:noProof/>
        </w:rPr>
        <w:instrText xml:space="preserve"> PAGEREF _Toc9778477 \h </w:instrText>
      </w:r>
      <w:r>
        <w:rPr>
          <w:noProof/>
        </w:rPr>
      </w:r>
      <w:r>
        <w:rPr>
          <w:noProof/>
        </w:rPr>
        <w:fldChar w:fldCharType="separate"/>
      </w:r>
      <w:r>
        <w:rPr>
          <w:noProof/>
        </w:rPr>
        <w:t>19</w:t>
      </w:r>
      <w:r>
        <w:rPr>
          <w:noProof/>
        </w:rPr>
        <w:fldChar w:fldCharType="end"/>
      </w:r>
    </w:p>
    <w:p w14:paraId="36EF5CA4" w14:textId="5DEC80BA" w:rsidR="00AD5769" w:rsidRDefault="00AD5769">
      <w:pPr>
        <w:pStyle w:val="TableofFigures"/>
        <w:rPr>
          <w:rFonts w:eastAsiaTheme="minorEastAsia" w:cstheme="minorBidi"/>
          <w:noProof/>
          <w:sz w:val="22"/>
          <w:szCs w:val="22"/>
        </w:rPr>
      </w:pPr>
      <w:r>
        <w:rPr>
          <w:noProof/>
        </w:rPr>
        <w:t>4.2</w:t>
      </w:r>
      <w:r>
        <w:rPr>
          <w:rFonts w:eastAsiaTheme="minorEastAsia" w:cstheme="minorBidi"/>
          <w:noProof/>
          <w:sz w:val="22"/>
          <w:szCs w:val="22"/>
        </w:rPr>
        <w:tab/>
      </w:r>
      <w:r>
        <w:rPr>
          <w:noProof/>
        </w:rPr>
        <w:t>Treasury 2011 Chart 5.14</w:t>
      </w:r>
      <w:r>
        <w:rPr>
          <w:noProof/>
        </w:rPr>
        <w:tab/>
      </w:r>
      <w:r>
        <w:rPr>
          <w:noProof/>
        </w:rPr>
        <w:fldChar w:fldCharType="begin"/>
      </w:r>
      <w:r>
        <w:rPr>
          <w:noProof/>
        </w:rPr>
        <w:instrText xml:space="preserve"> PAGEREF _Toc9778478 \h </w:instrText>
      </w:r>
      <w:r>
        <w:rPr>
          <w:noProof/>
        </w:rPr>
      </w:r>
      <w:r>
        <w:rPr>
          <w:noProof/>
        </w:rPr>
        <w:fldChar w:fldCharType="separate"/>
      </w:r>
      <w:r>
        <w:rPr>
          <w:noProof/>
        </w:rPr>
        <w:t>20</w:t>
      </w:r>
      <w:r>
        <w:rPr>
          <w:noProof/>
        </w:rPr>
        <w:fldChar w:fldCharType="end"/>
      </w:r>
    </w:p>
    <w:p w14:paraId="17C1C1BE" w14:textId="161FDE56" w:rsidR="00AD5769" w:rsidRDefault="00AD5769">
      <w:pPr>
        <w:pStyle w:val="TableofFigures"/>
        <w:rPr>
          <w:rFonts w:eastAsiaTheme="minorEastAsia" w:cstheme="minorBidi"/>
          <w:noProof/>
          <w:sz w:val="22"/>
          <w:szCs w:val="22"/>
        </w:rPr>
      </w:pPr>
      <w:r>
        <w:rPr>
          <w:noProof/>
        </w:rPr>
        <w:t>4.5</w:t>
      </w:r>
      <w:r>
        <w:rPr>
          <w:rFonts w:eastAsiaTheme="minorEastAsia" w:cstheme="minorBidi"/>
          <w:noProof/>
          <w:sz w:val="22"/>
          <w:szCs w:val="22"/>
        </w:rPr>
        <w:tab/>
      </w:r>
      <w:r>
        <w:rPr>
          <w:noProof/>
        </w:rPr>
        <w:t xml:space="preserve">Key results from BAE 2012: </w:t>
      </w:r>
      <w:r w:rsidRPr="00504735">
        <w:rPr>
          <w:i/>
          <w:noProof/>
        </w:rPr>
        <w:t>Comparison of economic effects under alternative climate policy scenarios (2020, percentage differences from the reference case)</w:t>
      </w:r>
      <w:r>
        <w:rPr>
          <w:noProof/>
        </w:rPr>
        <w:tab/>
      </w:r>
      <w:r>
        <w:rPr>
          <w:noProof/>
        </w:rPr>
        <w:fldChar w:fldCharType="begin"/>
      </w:r>
      <w:r>
        <w:rPr>
          <w:noProof/>
        </w:rPr>
        <w:instrText xml:space="preserve"> PAGEREF _Toc9778479 \h </w:instrText>
      </w:r>
      <w:r>
        <w:rPr>
          <w:noProof/>
        </w:rPr>
      </w:r>
      <w:r>
        <w:rPr>
          <w:noProof/>
        </w:rPr>
        <w:fldChar w:fldCharType="separate"/>
      </w:r>
      <w:r>
        <w:rPr>
          <w:noProof/>
        </w:rPr>
        <w:t>21</w:t>
      </w:r>
      <w:r>
        <w:rPr>
          <w:noProof/>
        </w:rPr>
        <w:fldChar w:fldCharType="end"/>
      </w:r>
    </w:p>
    <w:p w14:paraId="7F325868" w14:textId="7847915E" w:rsidR="00AD5769" w:rsidRDefault="00AD5769">
      <w:pPr>
        <w:pStyle w:val="TableofFigures"/>
        <w:rPr>
          <w:rFonts w:eastAsiaTheme="minorEastAsia" w:cstheme="minorBidi"/>
          <w:noProof/>
          <w:sz w:val="22"/>
          <w:szCs w:val="22"/>
        </w:rPr>
      </w:pPr>
      <w:r>
        <w:rPr>
          <w:noProof/>
        </w:rPr>
        <w:t>4.6</w:t>
      </w:r>
      <w:r>
        <w:rPr>
          <w:rFonts w:eastAsiaTheme="minorEastAsia" w:cstheme="minorBidi"/>
          <w:noProof/>
          <w:sz w:val="22"/>
          <w:szCs w:val="22"/>
        </w:rPr>
        <w:tab/>
      </w:r>
      <w:r>
        <w:rPr>
          <w:noProof/>
        </w:rPr>
        <w:t>CCA 2016 Figure 1</w:t>
      </w:r>
      <w:r>
        <w:rPr>
          <w:noProof/>
        </w:rPr>
        <w:tab/>
      </w:r>
      <w:r>
        <w:rPr>
          <w:noProof/>
        </w:rPr>
        <w:fldChar w:fldCharType="begin"/>
      </w:r>
      <w:r>
        <w:rPr>
          <w:noProof/>
        </w:rPr>
        <w:instrText xml:space="preserve"> PAGEREF _Toc9778480 \h </w:instrText>
      </w:r>
      <w:r>
        <w:rPr>
          <w:noProof/>
        </w:rPr>
      </w:r>
      <w:r>
        <w:rPr>
          <w:noProof/>
        </w:rPr>
        <w:fldChar w:fldCharType="separate"/>
      </w:r>
      <w:r>
        <w:rPr>
          <w:noProof/>
        </w:rPr>
        <w:t>2</w:t>
      </w:r>
      <w:r>
        <w:rPr>
          <w:noProof/>
        </w:rPr>
        <w:t>2</w:t>
      </w:r>
      <w:r>
        <w:rPr>
          <w:noProof/>
        </w:rPr>
        <w:fldChar w:fldCharType="end"/>
      </w:r>
    </w:p>
    <w:p w14:paraId="49768B70" w14:textId="2F5D4B75" w:rsidR="00AD5769" w:rsidRDefault="00AD5769">
      <w:pPr>
        <w:pStyle w:val="TableofFigures"/>
        <w:rPr>
          <w:rFonts w:eastAsiaTheme="minorEastAsia" w:cstheme="minorBidi"/>
          <w:noProof/>
          <w:sz w:val="22"/>
          <w:szCs w:val="22"/>
        </w:rPr>
      </w:pPr>
      <w:r>
        <w:rPr>
          <w:noProof/>
        </w:rPr>
        <w:t>A.1</w:t>
      </w:r>
      <w:r>
        <w:rPr>
          <w:rFonts w:eastAsiaTheme="minorEastAsia" w:cstheme="minorBidi"/>
          <w:noProof/>
          <w:sz w:val="22"/>
          <w:szCs w:val="22"/>
        </w:rPr>
        <w:tab/>
      </w:r>
      <w:r>
        <w:rPr>
          <w:noProof/>
        </w:rPr>
        <w:t>Elasticity between deviation in GSI and deviation in emissions vs deviation in emissions (Treasury &amp; DIICSTRE 2013)</w:t>
      </w:r>
      <w:r>
        <w:rPr>
          <w:noProof/>
        </w:rPr>
        <w:tab/>
      </w:r>
      <w:r>
        <w:rPr>
          <w:noProof/>
        </w:rPr>
        <w:fldChar w:fldCharType="begin"/>
      </w:r>
      <w:r>
        <w:rPr>
          <w:noProof/>
        </w:rPr>
        <w:instrText xml:space="preserve"> PAGEREF _Toc9778481 \h </w:instrText>
      </w:r>
      <w:r>
        <w:rPr>
          <w:noProof/>
        </w:rPr>
      </w:r>
      <w:r>
        <w:rPr>
          <w:noProof/>
        </w:rPr>
        <w:fldChar w:fldCharType="separate"/>
      </w:r>
      <w:r>
        <w:rPr>
          <w:noProof/>
        </w:rPr>
        <w:t>25</w:t>
      </w:r>
      <w:r>
        <w:rPr>
          <w:noProof/>
        </w:rPr>
        <w:fldChar w:fldCharType="end"/>
      </w:r>
    </w:p>
    <w:p w14:paraId="63D012B0" w14:textId="088EDF38" w:rsidR="00AD5769" w:rsidRDefault="00AD5769">
      <w:pPr>
        <w:pStyle w:val="TableofFigures"/>
        <w:rPr>
          <w:rFonts w:eastAsiaTheme="minorEastAsia" w:cstheme="minorBidi"/>
          <w:noProof/>
          <w:sz w:val="22"/>
          <w:szCs w:val="22"/>
        </w:rPr>
      </w:pPr>
      <w:r>
        <w:rPr>
          <w:noProof/>
        </w:rPr>
        <w:t>A.2</w:t>
      </w:r>
      <w:r>
        <w:rPr>
          <w:rFonts w:eastAsiaTheme="minorEastAsia" w:cstheme="minorBidi"/>
          <w:noProof/>
          <w:sz w:val="22"/>
          <w:szCs w:val="22"/>
        </w:rPr>
        <w:tab/>
      </w:r>
      <w:r>
        <w:rPr>
          <w:noProof/>
        </w:rPr>
        <w:t>Elasticity between deviation in GSI and deviation in emissions vs deviation in emissions (DELWP 2016)</w:t>
      </w:r>
      <w:r>
        <w:rPr>
          <w:noProof/>
        </w:rPr>
        <w:tab/>
      </w:r>
      <w:r>
        <w:rPr>
          <w:noProof/>
        </w:rPr>
        <w:fldChar w:fldCharType="begin"/>
      </w:r>
      <w:r>
        <w:rPr>
          <w:noProof/>
        </w:rPr>
        <w:instrText xml:space="preserve"> PAGEREF _Toc9778482 \h </w:instrText>
      </w:r>
      <w:r>
        <w:rPr>
          <w:noProof/>
        </w:rPr>
      </w:r>
      <w:r>
        <w:rPr>
          <w:noProof/>
        </w:rPr>
        <w:fldChar w:fldCharType="separate"/>
      </w:r>
      <w:r>
        <w:rPr>
          <w:noProof/>
        </w:rPr>
        <w:t>26</w:t>
      </w:r>
      <w:r>
        <w:rPr>
          <w:noProof/>
        </w:rPr>
        <w:fldChar w:fldCharType="end"/>
      </w:r>
    </w:p>
    <w:p w14:paraId="4069E352" w14:textId="1E1B17D8" w:rsidR="00AD5769" w:rsidRDefault="00AD5769">
      <w:pPr>
        <w:pStyle w:val="TableofFigures"/>
        <w:rPr>
          <w:rFonts w:eastAsiaTheme="minorEastAsia" w:cstheme="minorBidi"/>
          <w:noProof/>
          <w:sz w:val="22"/>
          <w:szCs w:val="22"/>
        </w:rPr>
      </w:pPr>
      <w:r>
        <w:rPr>
          <w:noProof/>
        </w:rPr>
        <w:t>A.3</w:t>
      </w:r>
      <w:r>
        <w:rPr>
          <w:rFonts w:eastAsiaTheme="minorEastAsia" w:cstheme="minorBidi"/>
          <w:noProof/>
          <w:sz w:val="22"/>
          <w:szCs w:val="22"/>
        </w:rPr>
        <w:tab/>
      </w:r>
      <w:r>
        <w:rPr>
          <w:noProof/>
        </w:rPr>
        <w:t>Deviation in GSI vs deviation in emissions (CSIRO 2015)</w:t>
      </w:r>
      <w:r>
        <w:rPr>
          <w:noProof/>
        </w:rPr>
        <w:tab/>
      </w:r>
      <w:r>
        <w:rPr>
          <w:noProof/>
        </w:rPr>
        <w:fldChar w:fldCharType="begin"/>
      </w:r>
      <w:r>
        <w:rPr>
          <w:noProof/>
        </w:rPr>
        <w:instrText xml:space="preserve"> PAGEREF _Toc9778483 \h </w:instrText>
      </w:r>
      <w:r>
        <w:rPr>
          <w:noProof/>
        </w:rPr>
      </w:r>
      <w:r>
        <w:rPr>
          <w:noProof/>
        </w:rPr>
        <w:fldChar w:fldCharType="separate"/>
      </w:r>
      <w:r>
        <w:rPr>
          <w:noProof/>
        </w:rPr>
        <w:t>26</w:t>
      </w:r>
      <w:r>
        <w:rPr>
          <w:noProof/>
        </w:rPr>
        <w:fldChar w:fldCharType="end"/>
      </w:r>
    </w:p>
    <w:p w14:paraId="3942A485" w14:textId="15903652" w:rsidR="00AD5769" w:rsidRDefault="00AD5769">
      <w:pPr>
        <w:pStyle w:val="TableofFigures"/>
        <w:rPr>
          <w:rFonts w:eastAsiaTheme="minorEastAsia" w:cstheme="minorBidi"/>
          <w:noProof/>
          <w:sz w:val="22"/>
          <w:szCs w:val="22"/>
        </w:rPr>
      </w:pPr>
      <w:r>
        <w:rPr>
          <w:noProof/>
        </w:rPr>
        <w:t>A.4</w:t>
      </w:r>
      <w:r>
        <w:rPr>
          <w:rFonts w:eastAsiaTheme="minorEastAsia" w:cstheme="minorBidi"/>
          <w:noProof/>
          <w:sz w:val="22"/>
          <w:szCs w:val="22"/>
        </w:rPr>
        <w:tab/>
      </w:r>
      <w:r>
        <w:rPr>
          <w:noProof/>
        </w:rPr>
        <w:t>Estimates of deviation in GSI (CIE estimates) vs actual deviation in GSI (Treasury &amp; DIICSTRE 2013</w:t>
      </w:r>
      <w:r>
        <w:rPr>
          <w:noProof/>
        </w:rPr>
        <w:tab/>
      </w:r>
      <w:r>
        <w:rPr>
          <w:noProof/>
        </w:rPr>
        <w:fldChar w:fldCharType="begin"/>
      </w:r>
      <w:r>
        <w:rPr>
          <w:noProof/>
        </w:rPr>
        <w:instrText xml:space="preserve"> PAGEREF _Toc9778484 \h </w:instrText>
      </w:r>
      <w:r>
        <w:rPr>
          <w:noProof/>
        </w:rPr>
      </w:r>
      <w:r>
        <w:rPr>
          <w:noProof/>
        </w:rPr>
        <w:fldChar w:fldCharType="separate"/>
      </w:r>
      <w:r>
        <w:rPr>
          <w:noProof/>
        </w:rPr>
        <w:t>27</w:t>
      </w:r>
      <w:r>
        <w:rPr>
          <w:noProof/>
        </w:rPr>
        <w:fldChar w:fldCharType="end"/>
      </w:r>
    </w:p>
    <w:p w14:paraId="4CAE5317" w14:textId="16477F56" w:rsidR="00AD5769" w:rsidRDefault="00AD5769">
      <w:pPr>
        <w:pStyle w:val="TableofFigures"/>
        <w:rPr>
          <w:rFonts w:eastAsiaTheme="minorEastAsia" w:cstheme="minorBidi"/>
          <w:noProof/>
          <w:sz w:val="22"/>
          <w:szCs w:val="22"/>
        </w:rPr>
      </w:pPr>
      <w:r>
        <w:rPr>
          <w:noProof/>
        </w:rPr>
        <w:t>A.5</w:t>
      </w:r>
      <w:r>
        <w:rPr>
          <w:rFonts w:eastAsiaTheme="minorEastAsia" w:cstheme="minorBidi"/>
          <w:noProof/>
          <w:sz w:val="22"/>
          <w:szCs w:val="22"/>
        </w:rPr>
        <w:tab/>
      </w:r>
      <w:r>
        <w:rPr>
          <w:noProof/>
        </w:rPr>
        <w:t>Estimates of deviation in GSI (CIE estimates) vs actual deviation in GSI (DELWP 2016)</w:t>
      </w:r>
      <w:r>
        <w:rPr>
          <w:noProof/>
        </w:rPr>
        <w:tab/>
      </w:r>
      <w:r>
        <w:rPr>
          <w:noProof/>
        </w:rPr>
        <w:fldChar w:fldCharType="begin"/>
      </w:r>
      <w:r>
        <w:rPr>
          <w:noProof/>
        </w:rPr>
        <w:instrText xml:space="preserve"> PAGEREF _Toc9778485 \h </w:instrText>
      </w:r>
      <w:r>
        <w:rPr>
          <w:noProof/>
        </w:rPr>
      </w:r>
      <w:r>
        <w:rPr>
          <w:noProof/>
        </w:rPr>
        <w:fldChar w:fldCharType="separate"/>
      </w:r>
      <w:r>
        <w:rPr>
          <w:noProof/>
        </w:rPr>
        <w:t>28</w:t>
      </w:r>
      <w:r>
        <w:rPr>
          <w:noProof/>
        </w:rPr>
        <w:fldChar w:fldCharType="end"/>
      </w:r>
    </w:p>
    <w:p w14:paraId="56B66BDA" w14:textId="6C2C7F9D" w:rsidR="00AD5769" w:rsidRDefault="00AD5769">
      <w:pPr>
        <w:pStyle w:val="TableofFigures"/>
        <w:rPr>
          <w:rFonts w:eastAsiaTheme="minorEastAsia" w:cstheme="minorBidi"/>
          <w:noProof/>
          <w:sz w:val="22"/>
          <w:szCs w:val="22"/>
        </w:rPr>
      </w:pPr>
      <w:r>
        <w:rPr>
          <w:noProof/>
        </w:rPr>
        <w:t>B.1</w:t>
      </w:r>
      <w:r>
        <w:rPr>
          <w:rFonts w:eastAsiaTheme="minorEastAsia" w:cstheme="minorBidi"/>
          <w:noProof/>
          <w:sz w:val="22"/>
          <w:szCs w:val="22"/>
        </w:rPr>
        <w:tab/>
      </w:r>
      <w:r>
        <w:rPr>
          <w:noProof/>
        </w:rPr>
        <w:t>Alternative baselines for Victoria emissions (Mt CO</w:t>
      </w:r>
      <w:r w:rsidRPr="00504735">
        <w:rPr>
          <w:noProof/>
          <w:vertAlign w:val="subscript"/>
        </w:rPr>
        <w:t>2</w:t>
      </w:r>
      <w:r>
        <w:rPr>
          <w:noProof/>
        </w:rPr>
        <w:t>e)</w:t>
      </w:r>
      <w:r>
        <w:rPr>
          <w:noProof/>
        </w:rPr>
        <w:tab/>
      </w:r>
      <w:r>
        <w:rPr>
          <w:noProof/>
        </w:rPr>
        <w:fldChar w:fldCharType="begin"/>
      </w:r>
      <w:r>
        <w:rPr>
          <w:noProof/>
        </w:rPr>
        <w:instrText xml:space="preserve"> PAGEREF _Toc9778486 \h </w:instrText>
      </w:r>
      <w:r>
        <w:rPr>
          <w:noProof/>
        </w:rPr>
      </w:r>
      <w:r>
        <w:rPr>
          <w:noProof/>
        </w:rPr>
        <w:fldChar w:fldCharType="separate"/>
      </w:r>
      <w:r>
        <w:rPr>
          <w:noProof/>
        </w:rPr>
        <w:t>29</w:t>
      </w:r>
      <w:r>
        <w:rPr>
          <w:noProof/>
        </w:rPr>
        <w:fldChar w:fldCharType="end"/>
      </w:r>
    </w:p>
    <w:p w14:paraId="2F546383" w14:textId="6C17E0E8" w:rsidR="00AD5769" w:rsidRDefault="00AD5769">
      <w:pPr>
        <w:pStyle w:val="TableofFigures"/>
        <w:rPr>
          <w:rFonts w:eastAsiaTheme="minorEastAsia" w:cstheme="minorBidi"/>
          <w:noProof/>
          <w:sz w:val="22"/>
          <w:szCs w:val="22"/>
        </w:rPr>
      </w:pPr>
      <w:r>
        <w:rPr>
          <w:noProof/>
        </w:rPr>
        <w:t>B.2</w:t>
      </w:r>
      <w:r>
        <w:rPr>
          <w:rFonts w:eastAsiaTheme="minorEastAsia" w:cstheme="minorBidi"/>
          <w:noProof/>
          <w:sz w:val="22"/>
          <w:szCs w:val="22"/>
        </w:rPr>
        <w:tab/>
      </w:r>
      <w:r>
        <w:rPr>
          <w:noProof/>
        </w:rPr>
        <w:t>Discounted loss of GSI due to emissions reduction between 2020 and 2050 (share of baseline GSI 2020-2050), by scenario relative to the core baseline</w:t>
      </w:r>
      <w:r>
        <w:rPr>
          <w:noProof/>
        </w:rPr>
        <w:tab/>
      </w:r>
      <w:r>
        <w:rPr>
          <w:noProof/>
        </w:rPr>
        <w:fldChar w:fldCharType="begin"/>
      </w:r>
      <w:r>
        <w:rPr>
          <w:noProof/>
        </w:rPr>
        <w:instrText xml:space="preserve"> PAGEREF _Toc9778487 \h </w:instrText>
      </w:r>
      <w:r>
        <w:rPr>
          <w:noProof/>
        </w:rPr>
      </w:r>
      <w:r>
        <w:rPr>
          <w:noProof/>
        </w:rPr>
        <w:fldChar w:fldCharType="separate"/>
      </w:r>
      <w:r>
        <w:rPr>
          <w:noProof/>
        </w:rPr>
        <w:t>30</w:t>
      </w:r>
      <w:r>
        <w:rPr>
          <w:noProof/>
        </w:rPr>
        <w:fldChar w:fldCharType="end"/>
      </w:r>
    </w:p>
    <w:p w14:paraId="537A5FD9" w14:textId="1C33BBD5" w:rsidR="00AD5769" w:rsidRDefault="00AD5769">
      <w:pPr>
        <w:pStyle w:val="TableofFigures"/>
        <w:rPr>
          <w:rFonts w:eastAsiaTheme="minorEastAsia" w:cstheme="minorBidi"/>
          <w:noProof/>
          <w:sz w:val="22"/>
          <w:szCs w:val="22"/>
        </w:rPr>
      </w:pPr>
      <w:r>
        <w:rPr>
          <w:noProof/>
        </w:rPr>
        <w:t>B.3</w:t>
      </w:r>
      <w:r>
        <w:rPr>
          <w:rFonts w:eastAsiaTheme="minorEastAsia" w:cstheme="minorBidi"/>
          <w:noProof/>
          <w:sz w:val="22"/>
          <w:szCs w:val="22"/>
        </w:rPr>
        <w:tab/>
      </w:r>
      <w:r>
        <w:rPr>
          <w:noProof/>
        </w:rPr>
        <w:t>Discounted loss of GSI due to emissions reduction between 2020 and 2050 (share of baseline GSI 2020-2050), by scenario relative low sensitivity baseline</w:t>
      </w:r>
      <w:r>
        <w:rPr>
          <w:noProof/>
        </w:rPr>
        <w:tab/>
      </w:r>
      <w:r>
        <w:rPr>
          <w:noProof/>
        </w:rPr>
        <w:fldChar w:fldCharType="begin"/>
      </w:r>
      <w:r>
        <w:rPr>
          <w:noProof/>
        </w:rPr>
        <w:instrText xml:space="preserve"> PAGEREF _Toc9778488 \h </w:instrText>
      </w:r>
      <w:r>
        <w:rPr>
          <w:noProof/>
        </w:rPr>
      </w:r>
      <w:r>
        <w:rPr>
          <w:noProof/>
        </w:rPr>
        <w:fldChar w:fldCharType="separate"/>
      </w:r>
      <w:r>
        <w:rPr>
          <w:noProof/>
        </w:rPr>
        <w:t>30</w:t>
      </w:r>
      <w:r>
        <w:rPr>
          <w:noProof/>
        </w:rPr>
        <w:fldChar w:fldCharType="end"/>
      </w:r>
    </w:p>
    <w:p w14:paraId="18BBD7B5" w14:textId="737A94A0" w:rsidR="00AD5769" w:rsidRDefault="00AD5769">
      <w:pPr>
        <w:pStyle w:val="TableofFigures"/>
        <w:rPr>
          <w:rFonts w:eastAsiaTheme="minorEastAsia" w:cstheme="minorBidi"/>
          <w:noProof/>
          <w:sz w:val="22"/>
          <w:szCs w:val="22"/>
        </w:rPr>
      </w:pPr>
      <w:r>
        <w:rPr>
          <w:noProof/>
        </w:rPr>
        <w:t>B.4</w:t>
      </w:r>
      <w:r>
        <w:rPr>
          <w:rFonts w:eastAsiaTheme="minorEastAsia" w:cstheme="minorBidi"/>
          <w:noProof/>
          <w:sz w:val="22"/>
          <w:szCs w:val="22"/>
        </w:rPr>
        <w:tab/>
      </w:r>
      <w:r>
        <w:rPr>
          <w:noProof/>
        </w:rPr>
        <w:t>Discounted loss of GSI due to emissions reduction between 2020 and 2050 (share of baseline GSI 2020-2050), by scenario relative high sensitivity baseline</w:t>
      </w:r>
      <w:r>
        <w:rPr>
          <w:noProof/>
        </w:rPr>
        <w:tab/>
      </w:r>
      <w:r>
        <w:rPr>
          <w:noProof/>
        </w:rPr>
        <w:fldChar w:fldCharType="begin"/>
      </w:r>
      <w:r>
        <w:rPr>
          <w:noProof/>
        </w:rPr>
        <w:instrText xml:space="preserve"> PAGEREF _Toc9778489 \h </w:instrText>
      </w:r>
      <w:r>
        <w:rPr>
          <w:noProof/>
        </w:rPr>
      </w:r>
      <w:r>
        <w:rPr>
          <w:noProof/>
        </w:rPr>
        <w:fldChar w:fldCharType="separate"/>
      </w:r>
      <w:r>
        <w:rPr>
          <w:noProof/>
        </w:rPr>
        <w:t>30</w:t>
      </w:r>
      <w:r>
        <w:rPr>
          <w:noProof/>
        </w:rPr>
        <w:fldChar w:fldCharType="end"/>
      </w:r>
    </w:p>
    <w:p w14:paraId="794F065A" w14:textId="37450AA1" w:rsidR="00AD5769" w:rsidRDefault="00AD5769">
      <w:pPr>
        <w:pStyle w:val="TableofFigures"/>
        <w:rPr>
          <w:rFonts w:eastAsiaTheme="minorEastAsia" w:cstheme="minorBidi"/>
          <w:noProof/>
          <w:sz w:val="22"/>
          <w:szCs w:val="22"/>
        </w:rPr>
      </w:pPr>
      <w:r>
        <w:rPr>
          <w:noProof/>
        </w:rPr>
        <w:t>B.5</w:t>
      </w:r>
      <w:r>
        <w:rPr>
          <w:rFonts w:eastAsiaTheme="minorEastAsia" w:cstheme="minorBidi"/>
          <w:noProof/>
          <w:sz w:val="22"/>
          <w:szCs w:val="22"/>
        </w:rPr>
        <w:tab/>
      </w:r>
      <w:r>
        <w:rPr>
          <w:noProof/>
        </w:rPr>
        <w:t>Deviation in emissions from baseline (by scenario)</w:t>
      </w:r>
      <w:r>
        <w:rPr>
          <w:noProof/>
        </w:rPr>
        <w:tab/>
      </w:r>
      <w:r>
        <w:rPr>
          <w:noProof/>
        </w:rPr>
        <w:fldChar w:fldCharType="begin"/>
      </w:r>
      <w:r>
        <w:rPr>
          <w:noProof/>
        </w:rPr>
        <w:instrText xml:space="preserve"> PAGEREF _Toc9778490 \h </w:instrText>
      </w:r>
      <w:r>
        <w:rPr>
          <w:noProof/>
        </w:rPr>
      </w:r>
      <w:r>
        <w:rPr>
          <w:noProof/>
        </w:rPr>
        <w:fldChar w:fldCharType="separate"/>
      </w:r>
      <w:r>
        <w:rPr>
          <w:noProof/>
        </w:rPr>
        <w:t>31</w:t>
      </w:r>
      <w:r>
        <w:rPr>
          <w:noProof/>
        </w:rPr>
        <w:fldChar w:fldCharType="end"/>
      </w:r>
    </w:p>
    <w:p w14:paraId="67B3B576" w14:textId="07DBD37D" w:rsidR="00AD5769" w:rsidRDefault="00AD5769">
      <w:pPr>
        <w:pStyle w:val="TableofFigures"/>
        <w:rPr>
          <w:rFonts w:eastAsiaTheme="minorEastAsia" w:cstheme="minorBidi"/>
          <w:noProof/>
          <w:sz w:val="22"/>
          <w:szCs w:val="22"/>
        </w:rPr>
      </w:pPr>
      <w:r>
        <w:rPr>
          <w:noProof/>
        </w:rPr>
        <w:t>B.6</w:t>
      </w:r>
      <w:r>
        <w:rPr>
          <w:rFonts w:eastAsiaTheme="minorEastAsia" w:cstheme="minorBidi"/>
          <w:noProof/>
          <w:sz w:val="22"/>
          <w:szCs w:val="22"/>
        </w:rPr>
        <w:tab/>
      </w:r>
      <w:r>
        <w:rPr>
          <w:noProof/>
        </w:rPr>
        <w:t>Discounted loss of GSI due to emissions reduction between 2020 and 2050 (share of baseline GSI 2020-2050), by scenario relative to core baseline</w:t>
      </w:r>
      <w:r>
        <w:rPr>
          <w:noProof/>
        </w:rPr>
        <w:tab/>
      </w:r>
      <w:r>
        <w:rPr>
          <w:noProof/>
        </w:rPr>
        <w:fldChar w:fldCharType="begin"/>
      </w:r>
      <w:r>
        <w:rPr>
          <w:noProof/>
        </w:rPr>
        <w:instrText xml:space="preserve"> PAGEREF _Toc9778491 \h </w:instrText>
      </w:r>
      <w:r>
        <w:rPr>
          <w:noProof/>
        </w:rPr>
      </w:r>
      <w:r>
        <w:rPr>
          <w:noProof/>
        </w:rPr>
        <w:fldChar w:fldCharType="separate"/>
      </w:r>
      <w:r>
        <w:rPr>
          <w:noProof/>
        </w:rPr>
        <w:t>31</w:t>
      </w:r>
      <w:r>
        <w:rPr>
          <w:noProof/>
        </w:rPr>
        <w:fldChar w:fldCharType="end"/>
      </w:r>
    </w:p>
    <w:p w14:paraId="744558FD" w14:textId="1CFDCD56" w:rsidR="00AD5769" w:rsidRDefault="00AD5769">
      <w:pPr>
        <w:pStyle w:val="TableofFigures"/>
        <w:rPr>
          <w:rFonts w:eastAsiaTheme="minorEastAsia" w:cstheme="minorBidi"/>
          <w:noProof/>
          <w:sz w:val="22"/>
          <w:szCs w:val="22"/>
        </w:rPr>
      </w:pPr>
      <w:r>
        <w:rPr>
          <w:noProof/>
        </w:rPr>
        <w:t>C.1</w:t>
      </w:r>
      <w:r>
        <w:rPr>
          <w:rFonts w:eastAsiaTheme="minorEastAsia" w:cstheme="minorBidi"/>
          <w:noProof/>
          <w:sz w:val="22"/>
          <w:szCs w:val="22"/>
        </w:rPr>
        <w:tab/>
      </w:r>
      <w:r>
        <w:rPr>
          <w:noProof/>
        </w:rPr>
        <w:t>Average annual growth in Victorian GSI in the 5 years to the year noted</w:t>
      </w:r>
      <w:r>
        <w:rPr>
          <w:noProof/>
        </w:rPr>
        <w:tab/>
      </w:r>
      <w:r>
        <w:rPr>
          <w:noProof/>
        </w:rPr>
        <w:fldChar w:fldCharType="begin"/>
      </w:r>
      <w:r>
        <w:rPr>
          <w:noProof/>
        </w:rPr>
        <w:instrText xml:space="preserve"> PAGEREF _Toc9778492 \h </w:instrText>
      </w:r>
      <w:r>
        <w:rPr>
          <w:noProof/>
        </w:rPr>
      </w:r>
      <w:r>
        <w:rPr>
          <w:noProof/>
        </w:rPr>
        <w:fldChar w:fldCharType="separate"/>
      </w:r>
      <w:r>
        <w:rPr>
          <w:noProof/>
        </w:rPr>
        <w:t>32</w:t>
      </w:r>
      <w:r>
        <w:rPr>
          <w:noProof/>
        </w:rPr>
        <w:fldChar w:fldCharType="end"/>
      </w:r>
    </w:p>
    <w:p w14:paraId="6EF7C630" w14:textId="6856C8CB" w:rsidR="00650F3E" w:rsidRDefault="00004633" w:rsidP="004E7620">
      <w:pPr>
        <w:pStyle w:val="TableofFigures"/>
        <w:rPr>
          <w:b/>
          <w:bCs/>
          <w:noProof/>
          <w:lang w:val="en-US"/>
        </w:rPr>
      </w:pPr>
      <w:r>
        <w:rPr>
          <w:b/>
          <w:bCs/>
          <w:noProof/>
          <w:lang w:val="en-US"/>
        </w:rPr>
        <w:fldChar w:fldCharType="end"/>
      </w:r>
    </w:p>
    <w:p w14:paraId="327B039E" w14:textId="77777777" w:rsidR="00650F3E" w:rsidRPr="00650F3E" w:rsidRDefault="00650F3E" w:rsidP="00650F3E">
      <w:pPr>
        <w:spacing w:before="140"/>
        <w:rPr>
          <w:rFonts w:asciiTheme="minorHAnsi" w:eastAsia="Times New Roman" w:hAnsiTheme="minorHAnsi"/>
          <w:lang w:val="en-US"/>
        </w:rPr>
      </w:pPr>
    </w:p>
    <w:p w14:paraId="344698B2" w14:textId="77777777" w:rsidR="00650F3E" w:rsidRPr="00650F3E" w:rsidRDefault="00650F3E" w:rsidP="00650F3E">
      <w:pPr>
        <w:pStyle w:val="BodyText"/>
        <w:rPr>
          <w:lang w:val="en-US"/>
        </w:rPr>
      </w:pPr>
    </w:p>
    <w:p w14:paraId="135CA568" w14:textId="77777777" w:rsidR="00650F3E" w:rsidRDefault="00650F3E" w:rsidP="004E7620">
      <w:pPr>
        <w:pStyle w:val="Heading1"/>
        <w:numPr>
          <w:ilvl w:val="0"/>
          <w:numId w:val="0"/>
        </w:numPr>
        <w:sectPr w:rsidR="00650F3E" w:rsidSect="004E7620">
          <w:headerReference w:type="even" r:id="rId17"/>
          <w:headerReference w:type="default" r:id="rId18"/>
          <w:footerReference w:type="even" r:id="rId19"/>
          <w:footerReference w:type="default" r:id="rId20"/>
          <w:pgSz w:w="11906" w:h="16838" w:code="9"/>
          <w:pgMar w:top="2268" w:right="1701" w:bottom="1418" w:left="2268" w:header="680" w:footer="680" w:gutter="0"/>
          <w:pgNumType w:fmt="lowerRoman"/>
          <w:cols w:space="708"/>
          <w:docGrid w:linePitch="360"/>
        </w:sectPr>
      </w:pPr>
    </w:p>
    <w:p w14:paraId="644237DB" w14:textId="7C6D45B8" w:rsidR="002A5062" w:rsidRDefault="005A6134" w:rsidP="00801EC2">
      <w:pPr>
        <w:pStyle w:val="Heading1NotNumbered"/>
      </w:pPr>
      <w:bookmarkStart w:id="2" w:name="DeleteThisLine"/>
      <w:bookmarkStart w:id="3" w:name="_Toc9778447"/>
      <w:bookmarkEnd w:id="1"/>
      <w:r w:rsidRPr="005A6134">
        <w:lastRenderedPageBreak/>
        <w:t>Summary</w:t>
      </w:r>
      <w:bookmarkEnd w:id="2"/>
      <w:bookmarkEnd w:id="3"/>
    </w:p>
    <w:p w14:paraId="6B170E99" w14:textId="63B886A4" w:rsidR="00D54F0D" w:rsidRDefault="00D54F0D" w:rsidP="00551EC8">
      <w:pPr>
        <w:pStyle w:val="HighlightMessage"/>
        <w:rPr>
          <w:lang w:bidi="fa-IR"/>
        </w:rPr>
      </w:pPr>
      <w:r>
        <w:rPr>
          <w:lang w:bidi="fa-IR"/>
        </w:rPr>
        <w:t>The issue</w:t>
      </w:r>
    </w:p>
    <w:p w14:paraId="391227EF" w14:textId="1AC0BF23" w:rsidR="00551EC8" w:rsidRDefault="00551EC8" w:rsidP="00551EC8">
      <w:pPr>
        <w:pStyle w:val="KeyPoint"/>
        <w:rPr>
          <w:lang w:bidi="fa-IR"/>
        </w:rPr>
      </w:pPr>
      <w:r>
        <w:rPr>
          <w:lang w:bidi="fa-IR"/>
        </w:rPr>
        <w:t xml:space="preserve">This report uses information from a range of studies to consider the relative costs of different </w:t>
      </w:r>
      <w:r w:rsidR="008611D1">
        <w:rPr>
          <w:lang w:bidi="fa-IR"/>
        </w:rPr>
        <w:t xml:space="preserve">Victorian </w:t>
      </w:r>
      <w:r>
        <w:rPr>
          <w:lang w:bidi="fa-IR"/>
        </w:rPr>
        <w:t>emission reduction pathways.</w:t>
      </w:r>
    </w:p>
    <w:p w14:paraId="406F36BA" w14:textId="06C21AFE" w:rsidR="00551EC8" w:rsidRDefault="00551EC8" w:rsidP="00551EC8">
      <w:pPr>
        <w:pStyle w:val="KeyPoint"/>
        <w:rPr>
          <w:lang w:bidi="fa-IR"/>
        </w:rPr>
      </w:pPr>
      <w:r>
        <w:rPr>
          <w:lang w:bidi="fa-IR"/>
        </w:rPr>
        <w:t>We consider four pathways, each consistent with:</w:t>
      </w:r>
    </w:p>
    <w:p w14:paraId="5F9225A3" w14:textId="120CC7D1" w:rsidR="00551EC8" w:rsidRDefault="00551EC8" w:rsidP="00551EC8">
      <w:pPr>
        <w:pStyle w:val="KeyPoint2"/>
        <w:rPr>
          <w:lang w:bidi="fa-IR"/>
        </w:rPr>
      </w:pPr>
      <w:r>
        <w:rPr>
          <w:lang w:bidi="fa-IR"/>
        </w:rPr>
        <w:t xml:space="preserve">Victoria achieving net zero greenhouse gas emissions </w:t>
      </w:r>
      <w:r w:rsidR="008611D1">
        <w:rPr>
          <w:lang w:bidi="fa-IR"/>
        </w:rPr>
        <w:t>(</w:t>
      </w:r>
      <w:r>
        <w:rPr>
          <w:lang w:bidi="fa-IR"/>
        </w:rPr>
        <w:t>of CO</w:t>
      </w:r>
      <w:r>
        <w:rPr>
          <w:vertAlign w:val="subscript"/>
          <w:lang w:bidi="fa-IR"/>
        </w:rPr>
        <w:t>2</w:t>
      </w:r>
      <w:r>
        <w:rPr>
          <w:lang w:bidi="fa-IR"/>
        </w:rPr>
        <w:t>e) by 2050</w:t>
      </w:r>
      <w:r w:rsidR="008611D1">
        <w:rPr>
          <w:lang w:bidi="fa-IR"/>
        </w:rPr>
        <w:t>; and</w:t>
      </w:r>
    </w:p>
    <w:p w14:paraId="132B060C" w14:textId="57AC4D64" w:rsidR="00551EC8" w:rsidRDefault="00551EC8" w:rsidP="00551EC8">
      <w:pPr>
        <w:pStyle w:val="KeyPoint2"/>
        <w:rPr>
          <w:lang w:bidi="fa-IR"/>
        </w:rPr>
      </w:pPr>
      <w:r>
        <w:rPr>
          <w:lang w:bidi="fa-IR"/>
        </w:rPr>
        <w:t xml:space="preserve">Total Victorian emissions between 2017 and 2050 </w:t>
      </w:r>
      <w:r w:rsidR="008611D1">
        <w:rPr>
          <w:lang w:bidi="fa-IR"/>
        </w:rPr>
        <w:t xml:space="preserve">being </w:t>
      </w:r>
      <w:r>
        <w:rPr>
          <w:lang w:bidi="fa-IR"/>
        </w:rPr>
        <w:t>constrained to a</w:t>
      </w:r>
      <w:r w:rsidR="00157821">
        <w:rPr>
          <w:lang w:bidi="fa-IR"/>
        </w:rPr>
        <w:t>n emissions</w:t>
      </w:r>
      <w:r>
        <w:rPr>
          <w:lang w:bidi="fa-IR"/>
        </w:rPr>
        <w:t xml:space="preserve"> budget of 1.9</w:t>
      </w:r>
      <w:r w:rsidRPr="001D51C5">
        <w:rPr>
          <w:lang w:bidi="fa-IR"/>
        </w:rPr>
        <w:t xml:space="preserve"> </w:t>
      </w:r>
      <w:r>
        <w:rPr>
          <w:lang w:bidi="fa-IR"/>
        </w:rPr>
        <w:t>GtCO</w:t>
      </w:r>
      <w:r>
        <w:rPr>
          <w:vertAlign w:val="subscript"/>
          <w:lang w:bidi="fa-IR"/>
        </w:rPr>
        <w:t>2</w:t>
      </w:r>
      <w:r>
        <w:rPr>
          <w:lang w:bidi="fa-IR"/>
        </w:rPr>
        <w:t>e</w:t>
      </w:r>
      <w:r w:rsidR="00157821">
        <w:rPr>
          <w:lang w:bidi="fa-IR"/>
        </w:rPr>
        <w:t xml:space="preserve"> for Victoria.</w:t>
      </w:r>
    </w:p>
    <w:p w14:paraId="73EA1033" w14:textId="6428019C" w:rsidR="00551EC8" w:rsidRDefault="008611D1" w:rsidP="008611D1">
      <w:pPr>
        <w:pStyle w:val="KeyPoint"/>
        <w:rPr>
          <w:lang w:bidi="fa-IR"/>
        </w:rPr>
      </w:pPr>
      <w:r>
        <w:rPr>
          <w:lang w:bidi="fa-IR"/>
        </w:rPr>
        <w:t>The four</w:t>
      </w:r>
      <w:r w:rsidR="00551EC8">
        <w:rPr>
          <w:lang w:bidi="fa-IR"/>
        </w:rPr>
        <w:t xml:space="preserve"> pathways involve different targets for 2030 emissions relative to 2005. These are 28, 45, 55 and 65 per cent reductions (relative to 2005).</w:t>
      </w:r>
    </w:p>
    <w:p w14:paraId="4830D671" w14:textId="0E616F7B" w:rsidR="00551EC8" w:rsidRPr="00551EC8" w:rsidRDefault="00551EC8" w:rsidP="008611D1">
      <w:pPr>
        <w:pStyle w:val="KeyPoint"/>
        <w:rPr>
          <w:lang w:bidi="fa-IR"/>
        </w:rPr>
      </w:pPr>
      <w:r>
        <w:rPr>
          <w:lang w:bidi="fa-IR"/>
        </w:rPr>
        <w:t xml:space="preserve">In contrast to most literature, the issue here is specifically one of relative costs of different paths to </w:t>
      </w:r>
      <w:r w:rsidR="008611D1">
        <w:rPr>
          <w:lang w:bidi="fa-IR"/>
        </w:rPr>
        <w:t xml:space="preserve">achieve </w:t>
      </w:r>
      <w:r>
        <w:rPr>
          <w:lang w:bidi="fa-IR"/>
        </w:rPr>
        <w:t>a specified endpoint and budget.</w:t>
      </w:r>
    </w:p>
    <w:p w14:paraId="223FBB1E" w14:textId="08DE5F57" w:rsidR="00965F9E" w:rsidRDefault="00965F9E" w:rsidP="0019345A">
      <w:pPr>
        <w:pStyle w:val="HighlightMessage"/>
        <w:rPr>
          <w:lang w:bidi="fa-IR"/>
        </w:rPr>
      </w:pPr>
      <w:r>
        <w:rPr>
          <w:lang w:bidi="fa-IR"/>
        </w:rPr>
        <w:t xml:space="preserve">What </w:t>
      </w:r>
      <w:r w:rsidR="0019345A">
        <w:rPr>
          <w:lang w:bidi="fa-IR"/>
        </w:rPr>
        <w:t>factors determine optimal timing of abatement?</w:t>
      </w:r>
    </w:p>
    <w:p w14:paraId="55FC40AE" w14:textId="009C24D9" w:rsidR="0019345A" w:rsidRDefault="0019345A" w:rsidP="0019345A">
      <w:pPr>
        <w:pStyle w:val="KeyPoint"/>
        <w:rPr>
          <w:lang w:bidi="fa-IR"/>
        </w:rPr>
      </w:pPr>
      <w:r>
        <w:rPr>
          <w:lang w:bidi="fa-IR"/>
        </w:rPr>
        <w:t>Essentially, the best timing for abatement is determined by:</w:t>
      </w:r>
    </w:p>
    <w:p w14:paraId="30B51334" w14:textId="77777777" w:rsidR="0019345A" w:rsidRDefault="0019345A" w:rsidP="0019345A">
      <w:pPr>
        <w:pStyle w:val="KeyPoint2"/>
        <w:rPr>
          <w:lang w:bidi="fa-IR"/>
        </w:rPr>
      </w:pPr>
      <w:r>
        <w:rPr>
          <w:lang w:bidi="fa-IR"/>
        </w:rPr>
        <w:t xml:space="preserve">The discount </w:t>
      </w:r>
      <w:proofErr w:type="gramStart"/>
      <w:r>
        <w:rPr>
          <w:lang w:bidi="fa-IR"/>
        </w:rPr>
        <w:t>rate</w:t>
      </w:r>
      <w:proofErr w:type="gramEnd"/>
      <w:r>
        <w:rPr>
          <w:lang w:bidi="fa-IR"/>
        </w:rPr>
        <w:t xml:space="preserve">. </w:t>
      </w:r>
    </w:p>
    <w:p w14:paraId="29F92617" w14:textId="71750105" w:rsidR="0019345A" w:rsidRDefault="0019345A" w:rsidP="0019345A">
      <w:pPr>
        <w:pStyle w:val="KeyPoint3"/>
        <w:rPr>
          <w:lang w:bidi="fa-IR"/>
        </w:rPr>
      </w:pPr>
      <w:r>
        <w:rPr>
          <w:lang w:bidi="fa-IR"/>
        </w:rPr>
        <w:t>Higher discount rates tend to imply later abatement, and lower discount rates imply early abatement</w:t>
      </w:r>
    </w:p>
    <w:p w14:paraId="24040FE6" w14:textId="681FA210" w:rsidR="0019345A" w:rsidRDefault="0019345A" w:rsidP="0019345A">
      <w:pPr>
        <w:pStyle w:val="KeyPoint2"/>
        <w:rPr>
          <w:lang w:bidi="fa-IR"/>
        </w:rPr>
      </w:pPr>
      <w:r>
        <w:rPr>
          <w:lang w:bidi="fa-IR"/>
        </w:rPr>
        <w:t xml:space="preserve">The evolution of the cost of abatement over time, </w:t>
      </w:r>
      <w:r w:rsidR="007C6522">
        <w:rPr>
          <w:lang w:bidi="fa-IR"/>
        </w:rPr>
        <w:t>partly</w:t>
      </w:r>
      <w:r>
        <w:rPr>
          <w:lang w:bidi="fa-IR"/>
        </w:rPr>
        <w:t xml:space="preserve"> determined by technology.</w:t>
      </w:r>
    </w:p>
    <w:p w14:paraId="2A0802A5" w14:textId="61907CB9" w:rsidR="0019345A" w:rsidRDefault="0019345A" w:rsidP="0019345A">
      <w:pPr>
        <w:pStyle w:val="KeyPoint3"/>
        <w:rPr>
          <w:lang w:bidi="fa-IR"/>
        </w:rPr>
      </w:pPr>
      <w:r>
        <w:rPr>
          <w:lang w:bidi="fa-IR"/>
        </w:rPr>
        <w:t>If costs are declining over time because of exogenous (outside Victoria) developments, then other things equal abatement should be delayed</w:t>
      </w:r>
    </w:p>
    <w:p w14:paraId="7F0DAE2E" w14:textId="0107AB1A" w:rsidR="0019345A" w:rsidRDefault="0019345A" w:rsidP="0019345A">
      <w:pPr>
        <w:pStyle w:val="KeyPoint3"/>
        <w:rPr>
          <w:lang w:bidi="fa-IR"/>
        </w:rPr>
      </w:pPr>
      <w:r>
        <w:rPr>
          <w:lang w:bidi="fa-IR"/>
        </w:rPr>
        <w:t>If costs decline in response to previous abatement (‘learning by doing’) then other things equal, abatement should take place earlier</w:t>
      </w:r>
    </w:p>
    <w:p w14:paraId="1E3BB18E" w14:textId="1C5C936D" w:rsidR="0019345A" w:rsidRDefault="0019345A" w:rsidP="0019345A">
      <w:pPr>
        <w:pStyle w:val="KeyPoint2"/>
        <w:rPr>
          <w:lang w:bidi="fa-IR"/>
        </w:rPr>
      </w:pPr>
      <w:r>
        <w:rPr>
          <w:lang w:bidi="fa-IR"/>
        </w:rPr>
        <w:t>Policy development</w:t>
      </w:r>
      <w:r w:rsidR="000E74A9">
        <w:rPr>
          <w:lang w:bidi="fa-IR"/>
        </w:rPr>
        <w:t>s</w:t>
      </w:r>
      <w:r>
        <w:rPr>
          <w:lang w:bidi="fa-IR"/>
        </w:rPr>
        <w:t>.</w:t>
      </w:r>
    </w:p>
    <w:p w14:paraId="1818012E" w14:textId="66A735CD" w:rsidR="0019345A" w:rsidRPr="0019345A" w:rsidRDefault="007C6522" w:rsidP="007C6522">
      <w:pPr>
        <w:pStyle w:val="KeyPoint3"/>
        <w:rPr>
          <w:lang w:bidi="fa-IR"/>
        </w:rPr>
      </w:pPr>
      <w:r>
        <w:rPr>
          <w:lang w:bidi="fa-IR"/>
        </w:rPr>
        <w:t xml:space="preserve">The cost of abatement in the future </w:t>
      </w:r>
      <w:r w:rsidR="000A74B7">
        <w:rPr>
          <w:lang w:bidi="fa-IR"/>
        </w:rPr>
        <w:t>will</w:t>
      </w:r>
      <w:r>
        <w:rPr>
          <w:lang w:bidi="fa-IR"/>
        </w:rPr>
        <w:t xml:space="preserve"> be </w:t>
      </w:r>
      <w:r w:rsidR="000A74B7">
        <w:rPr>
          <w:lang w:bidi="fa-IR"/>
        </w:rPr>
        <w:t>affected by</w:t>
      </w:r>
      <w:r>
        <w:rPr>
          <w:lang w:bidi="fa-IR"/>
        </w:rPr>
        <w:t xml:space="preserve"> policy choices today.</w:t>
      </w:r>
    </w:p>
    <w:p w14:paraId="429518FC" w14:textId="50D921E4" w:rsidR="007C6522" w:rsidRDefault="007C6522" w:rsidP="007C6522">
      <w:pPr>
        <w:pStyle w:val="HighlightMessage"/>
        <w:rPr>
          <w:lang w:bidi="fa-IR"/>
        </w:rPr>
      </w:pPr>
      <w:r>
        <w:rPr>
          <w:lang w:bidi="fa-IR"/>
        </w:rPr>
        <w:t xml:space="preserve">What does </w:t>
      </w:r>
      <w:proofErr w:type="gramStart"/>
      <w:r>
        <w:rPr>
          <w:lang w:bidi="fa-IR"/>
        </w:rPr>
        <w:t>existing</w:t>
      </w:r>
      <w:proofErr w:type="gramEnd"/>
      <w:r>
        <w:rPr>
          <w:lang w:bidi="fa-IR"/>
        </w:rPr>
        <w:t xml:space="preserve"> modelling suggest?</w:t>
      </w:r>
    </w:p>
    <w:p w14:paraId="7CB21B1A" w14:textId="7796E331" w:rsidR="009E4FAE" w:rsidRDefault="009E4FAE" w:rsidP="009E4FAE">
      <w:pPr>
        <w:pStyle w:val="KeyPoint"/>
        <w:rPr>
          <w:lang w:bidi="fa-IR"/>
        </w:rPr>
      </w:pPr>
      <w:r>
        <w:rPr>
          <w:lang w:bidi="fa-IR"/>
        </w:rPr>
        <w:t>We use existing studies to</w:t>
      </w:r>
      <w:r w:rsidR="00CA771A">
        <w:rPr>
          <w:lang w:bidi="fa-IR"/>
        </w:rPr>
        <w:t xml:space="preserve"> derive ‘cost curves’</w:t>
      </w:r>
      <w:r>
        <w:rPr>
          <w:lang w:bidi="fa-IR"/>
        </w:rPr>
        <w:t xml:space="preserve"> for abatement</w:t>
      </w:r>
      <w:r w:rsidR="008855F6">
        <w:rPr>
          <w:lang w:bidi="fa-IR"/>
        </w:rPr>
        <w:t>:</w:t>
      </w:r>
      <w:r>
        <w:rPr>
          <w:lang w:bidi="fa-IR"/>
        </w:rPr>
        <w:t xml:space="preserve"> </w:t>
      </w:r>
      <w:r w:rsidR="00CA771A">
        <w:rPr>
          <w:lang w:bidi="fa-IR"/>
        </w:rPr>
        <w:t xml:space="preserve">the </w:t>
      </w:r>
      <w:r w:rsidR="005F2866">
        <w:rPr>
          <w:lang w:bidi="fa-IR"/>
        </w:rPr>
        <w:t xml:space="preserve">implied </w:t>
      </w:r>
      <w:r w:rsidR="00CA771A">
        <w:rPr>
          <w:lang w:bidi="fa-IR"/>
        </w:rPr>
        <w:t xml:space="preserve">loss of GSI (relative to baseline) </w:t>
      </w:r>
      <w:r>
        <w:rPr>
          <w:lang w:bidi="fa-IR"/>
        </w:rPr>
        <w:t xml:space="preserve">for </w:t>
      </w:r>
      <w:r w:rsidR="005F2866">
        <w:rPr>
          <w:lang w:bidi="fa-IR"/>
        </w:rPr>
        <w:t xml:space="preserve">given reductions in </w:t>
      </w:r>
      <w:r w:rsidR="00CA771A">
        <w:rPr>
          <w:lang w:bidi="fa-IR"/>
        </w:rPr>
        <w:t xml:space="preserve">emissions (relative to baseline). </w:t>
      </w:r>
    </w:p>
    <w:p w14:paraId="15DA13E9" w14:textId="6725AD2B" w:rsidR="009E4FAE" w:rsidRDefault="0004496B" w:rsidP="009E4FAE">
      <w:pPr>
        <w:pStyle w:val="KeyPoint"/>
        <w:rPr>
          <w:lang w:bidi="fa-IR"/>
        </w:rPr>
      </w:pPr>
      <w:r>
        <w:rPr>
          <w:lang w:bidi="fa-IR"/>
        </w:rPr>
        <w:t>As there are a range of results in existing studies, we capture this range by deriving both a ‘steep’ and a ‘flat’ cost curve.</w:t>
      </w:r>
    </w:p>
    <w:p w14:paraId="6E429EFC" w14:textId="6B19E80B" w:rsidR="005F2866" w:rsidRDefault="009E4FAE" w:rsidP="009E4FAE">
      <w:pPr>
        <w:pStyle w:val="KeyPoint"/>
        <w:rPr>
          <w:lang w:bidi="fa-IR"/>
        </w:rPr>
      </w:pPr>
      <w:r>
        <w:rPr>
          <w:lang w:bidi="fa-IR"/>
        </w:rPr>
        <w:lastRenderedPageBreak/>
        <w:t xml:space="preserve">We calculate the loss of GSI </w:t>
      </w:r>
      <w:r w:rsidR="002908A1">
        <w:rPr>
          <w:lang w:bidi="fa-IR"/>
        </w:rPr>
        <w:t xml:space="preserve">(implied by the derived cost curves) </w:t>
      </w:r>
      <w:r>
        <w:rPr>
          <w:lang w:bidi="fa-IR"/>
        </w:rPr>
        <w:t>under each of the four scenarios using 3 different discount rates:</w:t>
      </w:r>
      <w:r w:rsidR="008855F6">
        <w:rPr>
          <w:lang w:bidi="fa-IR"/>
        </w:rPr>
        <w:t xml:space="preserve"> </w:t>
      </w:r>
      <w:r w:rsidR="007955C9">
        <w:rPr>
          <w:lang w:bidi="fa-IR"/>
        </w:rPr>
        <w:t>1.4 per cent, 4 per cent and 7 p</w:t>
      </w:r>
      <w:r>
        <w:rPr>
          <w:lang w:bidi="fa-IR"/>
        </w:rPr>
        <w:t>er cent.</w:t>
      </w:r>
      <w:r w:rsidR="007955C9">
        <w:rPr>
          <w:lang w:bidi="fa-IR"/>
        </w:rPr>
        <w:t xml:space="preserve"> </w:t>
      </w:r>
    </w:p>
    <w:p w14:paraId="7E3E63C3" w14:textId="7C6B9E81" w:rsidR="009E4FAE" w:rsidRDefault="009E4FAE" w:rsidP="009E4FAE">
      <w:pPr>
        <w:pStyle w:val="KeyPoint"/>
        <w:rPr>
          <w:lang w:bidi="fa-IR"/>
        </w:rPr>
      </w:pPr>
      <w:r>
        <w:rPr>
          <w:lang w:bidi="fa-IR"/>
        </w:rPr>
        <w:t>The results of these calculations are set out in table 1 below.</w:t>
      </w:r>
    </w:p>
    <w:p w14:paraId="33DE7C36" w14:textId="321F393E" w:rsidR="00AE53DD" w:rsidRPr="00695C93" w:rsidRDefault="00AE53DD" w:rsidP="00AE53DD">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0</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1</w:instrText>
      </w:r>
      <w:r w:rsidR="00187D65">
        <w:rPr>
          <w:noProof/>
        </w:rPr>
        <w:fldChar w:fldCharType="end"/>
      </w:r>
      <w:r w:rsidRPr="00695C93">
        <w:instrText xml:space="preserve">." </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0</w:instrText>
      </w:r>
      <w:r w:rsidR="00187D65">
        <w:rPr>
          <w:noProof/>
        </w:rPr>
        <w:fldChar w:fldCharType="end"/>
      </w:r>
      <w:r w:rsidRPr="00695C93">
        <w:instrText xml:space="preserve"> = 0 "" "1" </w:instrText>
      </w:r>
      <w:r w:rsidRPr="00695C93">
        <w:fldChar w:fldCharType="end"/>
      </w:r>
      <w:r w:rsidRPr="00695C93">
        <w:instrText xml:space="preserve">" "6" </w:instrText>
      </w:r>
      <w:r w:rsidRPr="00695C93">
        <w:fldChar w:fldCharType="end"/>
      </w:r>
      <w:r w:rsidRPr="00695C93">
        <w:instrText xml:space="preserve"> </w:instrText>
      </w:r>
      <w:r w:rsidRPr="00695C93">
        <w:fldChar w:fldCharType="separate"/>
      </w:r>
      <w:r w:rsidR="008A2B2B">
        <w:rPr>
          <w:noProof/>
        </w:rPr>
        <w:instrText>1</w:instrText>
      </w:r>
      <w:r w:rsidRPr="00695C93">
        <w:fldChar w:fldCharType="end"/>
      </w:r>
      <w:r w:rsidRPr="00695C93">
        <w:instrText xml:space="preserve">" "" </w:instrText>
      </w:r>
      <w:r w:rsidRPr="00695C93">
        <w:fldChar w:fldCharType="separate"/>
      </w:r>
      <w:bookmarkStart w:id="4" w:name="_Caption4053"/>
      <w:bookmarkStart w:id="5" w:name="_Caption5435"/>
      <w:bookmarkStart w:id="6" w:name="_Caption6627"/>
      <w:bookmarkStart w:id="7" w:name="_Caption0523"/>
      <w:bookmarkStart w:id="8" w:name="_Caption0738"/>
      <w:bookmarkStart w:id="9" w:name="_Caption9893"/>
      <w:bookmarkStart w:id="10" w:name="_Caption0986"/>
      <w:bookmarkStart w:id="11" w:name="_Caption8548"/>
      <w:bookmarkStart w:id="12" w:name="_Caption2723"/>
      <w:bookmarkStart w:id="13" w:name="_Caption2245"/>
      <w:bookmarkStart w:id="14" w:name="_Toc9778467"/>
      <w:r w:rsidR="008A2B2B">
        <w:rPr>
          <w:noProof/>
        </w:rPr>
        <w:t>1</w:t>
      </w:r>
      <w:bookmarkEnd w:id="4"/>
      <w:bookmarkEnd w:id="5"/>
      <w:bookmarkEnd w:id="6"/>
      <w:bookmarkEnd w:id="7"/>
      <w:bookmarkEnd w:id="8"/>
      <w:bookmarkEnd w:id="9"/>
      <w:bookmarkEnd w:id="10"/>
      <w:bookmarkEnd w:id="11"/>
      <w:bookmarkEnd w:id="12"/>
      <w:bookmarkEnd w:id="13"/>
      <w:r w:rsidRPr="00695C93">
        <w:fldChar w:fldCharType="end"/>
      </w:r>
      <w:r w:rsidRPr="00695C93">
        <w:tab/>
      </w:r>
      <w:r>
        <w:t>Interaction of discount rate and cost curve: summary</w:t>
      </w:r>
      <w:bookmarkEnd w:id="14"/>
      <w:r>
        <w:rPr>
          <w:rStyle w:val="CommentReference"/>
        </w:rPr>
        <w:t xml:space="preserve"> </w:t>
      </w:r>
    </w:p>
    <w:tbl>
      <w:tblPr>
        <w:tblW w:w="0" w:type="auto"/>
        <w:tblLayout w:type="fixed"/>
        <w:tblLook w:val="0000" w:firstRow="0" w:lastRow="0" w:firstColumn="0" w:lastColumn="0" w:noHBand="0" w:noVBand="0"/>
      </w:tblPr>
      <w:tblGrid>
        <w:gridCol w:w="3119"/>
        <w:gridCol w:w="2409"/>
        <w:gridCol w:w="2409"/>
      </w:tblGrid>
      <w:tr w:rsidR="00AE53DD" w14:paraId="67A5C502" w14:textId="77777777" w:rsidTr="00FA5111">
        <w:tc>
          <w:tcPr>
            <w:tcW w:w="3119" w:type="dxa"/>
            <w:tcBorders>
              <w:bottom w:val="single" w:sz="8" w:space="0" w:color="FFFFFF" w:themeColor="background1"/>
            </w:tcBorders>
            <w:shd w:val="clear" w:color="auto" w:fill="6F6652"/>
            <w:tcMar>
              <w:left w:w="57" w:type="dxa"/>
              <w:right w:w="57" w:type="dxa"/>
            </w:tcMar>
          </w:tcPr>
          <w:p w14:paraId="794FF942" w14:textId="77777777" w:rsidR="00AE53DD" w:rsidRDefault="00AE53DD" w:rsidP="00DC44AB">
            <w:pPr>
              <w:pStyle w:val="TableTextColumnHeading"/>
              <w:rPr>
                <w:lang w:bidi="fa-IR"/>
              </w:rPr>
            </w:pPr>
            <w:r>
              <w:rPr>
                <w:lang w:bidi="fa-IR"/>
              </w:rPr>
              <w:t>Discount rate</w:t>
            </w:r>
          </w:p>
        </w:tc>
        <w:tc>
          <w:tcPr>
            <w:tcW w:w="4818" w:type="dxa"/>
            <w:gridSpan w:val="2"/>
            <w:tcBorders>
              <w:bottom w:val="single" w:sz="8" w:space="0" w:color="FFFFFF" w:themeColor="background1"/>
            </w:tcBorders>
            <w:shd w:val="clear" w:color="auto" w:fill="6F6652"/>
            <w:tcMar>
              <w:left w:w="57" w:type="dxa"/>
              <w:right w:w="57" w:type="dxa"/>
            </w:tcMar>
          </w:tcPr>
          <w:p w14:paraId="0C1A4A6C" w14:textId="77777777" w:rsidR="00AE53DD" w:rsidRDefault="00AE53DD" w:rsidP="00DC44AB">
            <w:pPr>
              <w:pStyle w:val="TableTextColumnHeading"/>
              <w:rPr>
                <w:lang w:bidi="fa-IR"/>
              </w:rPr>
            </w:pPr>
            <w:r>
              <w:rPr>
                <w:lang w:bidi="fa-IR"/>
              </w:rPr>
              <w:t>Nature of abatement cost curve</w:t>
            </w:r>
          </w:p>
        </w:tc>
      </w:tr>
      <w:tr w:rsidR="00AE53DD" w14:paraId="49FEA214" w14:textId="77777777" w:rsidTr="00FA5111">
        <w:tc>
          <w:tcPr>
            <w:tcW w:w="311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5D83CB45" w14:textId="77777777" w:rsidR="00AE53DD" w:rsidRDefault="00AE53DD" w:rsidP="00DC44AB">
            <w:pPr>
              <w:pStyle w:val="TableTextEntries"/>
              <w:rPr>
                <w:lang w:bidi="fa-IR"/>
              </w:rPr>
            </w:pPr>
          </w:p>
        </w:tc>
        <w:tc>
          <w:tcPr>
            <w:tcW w:w="240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241A0556" w14:textId="0F3F8883" w:rsidR="00AE53DD" w:rsidRPr="00FA5111" w:rsidRDefault="00AE53DD" w:rsidP="00DC44AB">
            <w:pPr>
              <w:pStyle w:val="TableTextEntries"/>
              <w:rPr>
                <w:lang w:bidi="fa-IR"/>
              </w:rPr>
            </w:pPr>
            <w:r w:rsidRPr="002F3898">
              <w:rPr>
                <w:b/>
                <w:lang w:bidi="fa-IR"/>
              </w:rPr>
              <w:t>Flat cost curve</w:t>
            </w:r>
            <w:r w:rsidR="00FA5111">
              <w:rPr>
                <w:b/>
                <w:lang w:bidi="fa-IR"/>
              </w:rPr>
              <w:t xml:space="preserve"> </w:t>
            </w:r>
          </w:p>
          <w:p w14:paraId="0D127EC3" w14:textId="69624B4F" w:rsidR="00AE53DD" w:rsidRPr="00FA5111" w:rsidRDefault="00AE53DD" w:rsidP="00DC44AB">
            <w:pPr>
              <w:pStyle w:val="TableTextEntries"/>
              <w:rPr>
                <w:i/>
                <w:lang w:bidi="fa-IR"/>
              </w:rPr>
            </w:pPr>
            <w:r w:rsidRPr="00BD169E">
              <w:rPr>
                <w:i/>
                <w:lang w:bidi="fa-IR"/>
              </w:rPr>
              <w:t>Incremental abatemen</w:t>
            </w:r>
            <w:r w:rsidR="00FA5111">
              <w:rPr>
                <w:i/>
                <w:lang w:bidi="fa-IR"/>
              </w:rPr>
              <w:t xml:space="preserve">t comes at low additional cost; consistent with </w:t>
            </w:r>
            <w:r w:rsidRPr="00BD169E">
              <w:rPr>
                <w:i/>
                <w:lang w:bidi="fa-IR"/>
              </w:rPr>
              <w:t>learning by doing; no regrets options; good policy configuration</w:t>
            </w:r>
          </w:p>
        </w:tc>
        <w:tc>
          <w:tcPr>
            <w:tcW w:w="240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1995C520" w14:textId="32F11867" w:rsidR="00AE53DD" w:rsidRPr="00FA5111" w:rsidRDefault="00AE53DD" w:rsidP="00DC44AB">
            <w:pPr>
              <w:pStyle w:val="TableTextEntries"/>
              <w:rPr>
                <w:lang w:bidi="fa-IR"/>
              </w:rPr>
            </w:pPr>
            <w:r w:rsidRPr="002F3898">
              <w:rPr>
                <w:b/>
                <w:lang w:bidi="fa-IR"/>
              </w:rPr>
              <w:t>Steep cost curve</w:t>
            </w:r>
            <w:r w:rsidR="00FA5111">
              <w:rPr>
                <w:b/>
                <w:lang w:bidi="fa-IR"/>
              </w:rPr>
              <w:t xml:space="preserve"> </w:t>
            </w:r>
          </w:p>
          <w:p w14:paraId="2F7C2E07" w14:textId="49C57C7A" w:rsidR="00AE53DD" w:rsidRPr="00FA5111" w:rsidRDefault="00AE53DD" w:rsidP="00DC44AB">
            <w:pPr>
              <w:pStyle w:val="TableTextEntries"/>
              <w:rPr>
                <w:i/>
                <w:lang w:bidi="fa-IR"/>
              </w:rPr>
            </w:pPr>
            <w:r w:rsidRPr="00BD169E">
              <w:rPr>
                <w:i/>
                <w:lang w:bidi="fa-IR"/>
              </w:rPr>
              <w:t>Incremental abatement comes at higher cost: limited learning by doing, abatement opportunities used up in early actions</w:t>
            </w:r>
          </w:p>
        </w:tc>
      </w:tr>
      <w:tr w:rsidR="00AE53DD" w14:paraId="25D2F98E" w14:textId="77777777" w:rsidTr="00FA5111">
        <w:tc>
          <w:tcPr>
            <w:tcW w:w="311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138975F1" w14:textId="77777777" w:rsidR="00AE53DD" w:rsidRDefault="00AE53DD" w:rsidP="00DC44AB">
            <w:pPr>
              <w:pStyle w:val="TableTextEntries"/>
              <w:rPr>
                <w:b/>
                <w:lang w:bidi="fa-IR"/>
              </w:rPr>
            </w:pPr>
            <w:r>
              <w:rPr>
                <w:b/>
                <w:lang w:bidi="fa-IR"/>
              </w:rPr>
              <w:t>1.4 per cent</w:t>
            </w:r>
          </w:p>
          <w:p w14:paraId="00BF01C4" w14:textId="65ED4931" w:rsidR="00FA5111" w:rsidRPr="009567A8" w:rsidRDefault="00FA5111" w:rsidP="00FA5111">
            <w:pPr>
              <w:pStyle w:val="TableTextEntries"/>
              <w:rPr>
                <w:i/>
                <w:lang w:bidi="fa-IR"/>
              </w:rPr>
            </w:pPr>
            <w:r w:rsidRPr="009567A8">
              <w:rPr>
                <w:i/>
                <w:lang w:bidi="fa-IR"/>
              </w:rPr>
              <w:t xml:space="preserve">Rate used for long term (&gt;50 years) intergenerational decisions (in Stern </w:t>
            </w:r>
            <w:proofErr w:type="gramStart"/>
            <w:r w:rsidR="006A5D87">
              <w:rPr>
                <w:i/>
                <w:lang w:bidi="fa-IR"/>
              </w:rPr>
              <w:t xml:space="preserve">2006 </w:t>
            </w:r>
            <w:r w:rsidRPr="009567A8">
              <w:rPr>
                <w:i/>
                <w:lang w:bidi="fa-IR"/>
              </w:rPr>
              <w:t>,</w:t>
            </w:r>
            <w:proofErr w:type="gramEnd"/>
            <w:r w:rsidRPr="009567A8">
              <w:rPr>
                <w:i/>
                <w:lang w:bidi="fa-IR"/>
              </w:rPr>
              <w:t xml:space="preserve"> for example). Based on zero</w:t>
            </w:r>
            <w:r>
              <w:rPr>
                <w:i/>
                <w:lang w:bidi="fa-IR"/>
              </w:rPr>
              <w:t xml:space="preserve"> (or very low)</w:t>
            </w:r>
            <w:r w:rsidRPr="009567A8">
              <w:rPr>
                <w:i/>
                <w:lang w:bidi="fa-IR"/>
              </w:rPr>
              <w:t xml:space="preserve"> pure discount </w:t>
            </w:r>
            <w:proofErr w:type="gramStart"/>
            <w:r w:rsidRPr="009567A8">
              <w:rPr>
                <w:i/>
                <w:lang w:bidi="fa-IR"/>
              </w:rPr>
              <w:t>rate, but</w:t>
            </w:r>
            <w:proofErr w:type="gramEnd"/>
            <w:r w:rsidRPr="009567A8">
              <w:rPr>
                <w:i/>
                <w:lang w:bidi="fa-IR"/>
              </w:rPr>
              <w:t xml:space="preserve"> allows for some growth in real consumption.</w:t>
            </w:r>
          </w:p>
          <w:p w14:paraId="489CA372" w14:textId="3AB36950" w:rsidR="0066403C" w:rsidRPr="00D359DA" w:rsidRDefault="00FA5111" w:rsidP="00FA5111">
            <w:pPr>
              <w:pStyle w:val="TableTextEntries"/>
              <w:rPr>
                <w:b/>
                <w:lang w:bidi="fa-IR"/>
              </w:rPr>
            </w:pPr>
            <w:r w:rsidRPr="009567A8">
              <w:rPr>
                <w:i/>
                <w:lang w:bidi="fa-IR"/>
              </w:rPr>
              <w:t>Some also argue that current real risk-free discount rate is very low.</w:t>
            </w:r>
          </w:p>
        </w:tc>
        <w:tc>
          <w:tcPr>
            <w:tcW w:w="2409" w:type="dxa"/>
            <w:tcBorders>
              <w:top w:val="single" w:sz="8" w:space="0" w:color="FFFFFF" w:themeColor="background1"/>
              <w:bottom w:val="single" w:sz="8" w:space="0" w:color="FFFFFF" w:themeColor="background1"/>
            </w:tcBorders>
            <w:shd w:val="clear" w:color="auto" w:fill="C2DADB" w:themeFill="accent6" w:themeFillTint="99"/>
            <w:tcMar>
              <w:left w:w="57" w:type="dxa"/>
              <w:right w:w="57" w:type="dxa"/>
            </w:tcMar>
          </w:tcPr>
          <w:p w14:paraId="3C371F83" w14:textId="77777777" w:rsidR="00AE53DD" w:rsidRPr="00DA1120" w:rsidRDefault="00AE53DD" w:rsidP="00DC44AB">
            <w:pPr>
              <w:pStyle w:val="TableTextEntries"/>
            </w:pPr>
            <w:r>
              <w:t xml:space="preserve">GSI reduction: </w:t>
            </w:r>
            <w:r w:rsidRPr="005623E7">
              <w:rPr>
                <w:b/>
              </w:rPr>
              <w:t>0.</w:t>
            </w:r>
            <w:r>
              <w:rPr>
                <w:b/>
              </w:rPr>
              <w:t xml:space="preserve">3 per cent </w:t>
            </w:r>
            <w:r w:rsidRPr="006D2690">
              <w:t>to</w:t>
            </w:r>
            <w:r>
              <w:rPr>
                <w:b/>
              </w:rPr>
              <w:t xml:space="preserve"> 0.5 per cent</w:t>
            </w:r>
            <w:r w:rsidRPr="00DA1120">
              <w:t xml:space="preserve"> </w:t>
            </w:r>
          </w:p>
          <w:p w14:paraId="29C0A8ED" w14:textId="2623FAFA" w:rsidR="00AE53DD" w:rsidRPr="00AE710A" w:rsidRDefault="007955C9" w:rsidP="00DC44AB">
            <w:pPr>
              <w:pStyle w:val="TableTextEntries"/>
            </w:pPr>
            <w:r>
              <w:t>Lowest</w:t>
            </w:r>
            <w:r w:rsidR="00AE53DD">
              <w:t xml:space="preserve"> GSI loss </w:t>
            </w:r>
            <w:r>
              <w:t xml:space="preserve">in </w:t>
            </w:r>
            <w:r w:rsidR="00AE53DD" w:rsidRPr="00D359DA">
              <w:rPr>
                <w:i/>
              </w:rPr>
              <w:t>VIC emissions (65% 2030)</w:t>
            </w:r>
            <w:r w:rsidR="00AE710A">
              <w:rPr>
                <w:i/>
              </w:rPr>
              <w:t xml:space="preserve"> </w:t>
            </w:r>
            <w:r w:rsidR="00AE710A">
              <w:t>followed by (</w:t>
            </w:r>
            <w:r w:rsidR="00AE710A" w:rsidRPr="00C27F27">
              <w:rPr>
                <w:i/>
              </w:rPr>
              <w:t>55% 2030</w:t>
            </w:r>
            <w:r w:rsidR="00AE710A">
              <w:t>).</w:t>
            </w:r>
          </w:p>
        </w:tc>
        <w:tc>
          <w:tcPr>
            <w:tcW w:w="2409" w:type="dxa"/>
            <w:tcBorders>
              <w:top w:val="single" w:sz="8" w:space="0" w:color="FFFFFF" w:themeColor="background1"/>
              <w:bottom w:val="single" w:sz="8" w:space="0" w:color="FFFFFF" w:themeColor="background1"/>
            </w:tcBorders>
            <w:shd w:val="clear" w:color="auto" w:fill="C2DADB" w:themeFill="accent6" w:themeFillTint="99"/>
            <w:tcMar>
              <w:left w:w="57" w:type="dxa"/>
              <w:right w:w="57" w:type="dxa"/>
            </w:tcMar>
          </w:tcPr>
          <w:p w14:paraId="5F1D58BF" w14:textId="77777777" w:rsidR="00AE53DD" w:rsidRPr="00DA1120" w:rsidRDefault="00AE53DD" w:rsidP="00DC44AB">
            <w:pPr>
              <w:pStyle w:val="TableTextEntries"/>
            </w:pPr>
            <w:r>
              <w:t xml:space="preserve">GSI reduction: </w:t>
            </w:r>
            <w:r w:rsidRPr="00D359DA">
              <w:rPr>
                <w:b/>
              </w:rPr>
              <w:t>2.4</w:t>
            </w:r>
            <w:r>
              <w:rPr>
                <w:b/>
              </w:rPr>
              <w:t xml:space="preserve"> per cent </w:t>
            </w:r>
            <w:r>
              <w:t xml:space="preserve">to </w:t>
            </w:r>
            <w:r w:rsidRPr="005623E7">
              <w:rPr>
                <w:b/>
              </w:rPr>
              <w:t>3.6</w:t>
            </w:r>
            <w:r>
              <w:rPr>
                <w:b/>
              </w:rPr>
              <w:t xml:space="preserve"> per cent</w:t>
            </w:r>
          </w:p>
          <w:p w14:paraId="03E290A0" w14:textId="2AB57663" w:rsidR="00AE53DD" w:rsidRDefault="007955C9" w:rsidP="00DC44AB">
            <w:pPr>
              <w:pStyle w:val="TableTextEntries"/>
              <w:rPr>
                <w:lang w:bidi="fa-IR"/>
              </w:rPr>
            </w:pPr>
            <w:r>
              <w:t xml:space="preserve">Lowest GSI loss in </w:t>
            </w:r>
            <w:r w:rsidRPr="00D359DA">
              <w:rPr>
                <w:i/>
              </w:rPr>
              <w:t>VIC emissions (65% 2030)</w:t>
            </w:r>
            <w:r w:rsidR="00AE710A">
              <w:rPr>
                <w:i/>
              </w:rPr>
              <w:t xml:space="preserve"> </w:t>
            </w:r>
            <w:r w:rsidR="00AE710A">
              <w:t>followed by (</w:t>
            </w:r>
            <w:r w:rsidR="00AE710A" w:rsidRPr="00C27F27">
              <w:rPr>
                <w:i/>
              </w:rPr>
              <w:t>55% 2030</w:t>
            </w:r>
            <w:r w:rsidR="00AE710A">
              <w:t>).</w:t>
            </w:r>
          </w:p>
        </w:tc>
      </w:tr>
      <w:tr w:rsidR="00AE53DD" w14:paraId="207C50F4" w14:textId="77777777" w:rsidTr="00FA5111">
        <w:tc>
          <w:tcPr>
            <w:tcW w:w="311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29BC959A" w14:textId="77777777" w:rsidR="00AE53DD" w:rsidRPr="009567A8" w:rsidRDefault="00AE53DD" w:rsidP="00DC44AB">
            <w:pPr>
              <w:pStyle w:val="TableTextEntries"/>
              <w:rPr>
                <w:b/>
                <w:lang w:bidi="fa-IR"/>
              </w:rPr>
            </w:pPr>
            <w:r w:rsidRPr="009567A8">
              <w:rPr>
                <w:b/>
                <w:lang w:bidi="fa-IR"/>
              </w:rPr>
              <w:t>4 per cent</w:t>
            </w:r>
          </w:p>
          <w:p w14:paraId="19EFA6C8" w14:textId="5968FCDD" w:rsidR="00FA5111" w:rsidRPr="009567A8" w:rsidRDefault="00FA5111" w:rsidP="00FA5111">
            <w:pPr>
              <w:pStyle w:val="TableTextEntries"/>
              <w:rPr>
                <w:i/>
                <w:lang w:bidi="fa-IR"/>
              </w:rPr>
            </w:pPr>
            <w:r w:rsidRPr="009567A8">
              <w:rPr>
                <w:i/>
                <w:lang w:bidi="fa-IR"/>
              </w:rPr>
              <w:t>Designed to represent the market return on capital over the long term. In climate change, this is a rate typically used by an</w:t>
            </w:r>
            <w:r>
              <w:rPr>
                <w:i/>
                <w:lang w:bidi="fa-IR"/>
              </w:rPr>
              <w:t>alysts such as Nordhaus (</w:t>
            </w:r>
            <w:r w:rsidR="006A5D87">
              <w:rPr>
                <w:i/>
                <w:lang w:bidi="fa-IR"/>
              </w:rPr>
              <w:t>2008</w:t>
            </w:r>
            <w:r>
              <w:rPr>
                <w:i/>
                <w:lang w:bidi="fa-IR"/>
              </w:rPr>
              <w:t>)</w:t>
            </w:r>
          </w:p>
          <w:p w14:paraId="42C406B1" w14:textId="19DDFD48" w:rsidR="00AE53DD" w:rsidRDefault="00FA5111" w:rsidP="00FA5111">
            <w:pPr>
              <w:pStyle w:val="TableTextEntries"/>
              <w:rPr>
                <w:lang w:bidi="fa-IR"/>
              </w:rPr>
            </w:pPr>
            <w:r w:rsidRPr="009567A8">
              <w:rPr>
                <w:i/>
                <w:lang w:bidi="fa-IR"/>
              </w:rPr>
              <w:t>Also, frequently used as a lower bound in cost-benefit analysis.</w:t>
            </w:r>
          </w:p>
        </w:tc>
        <w:tc>
          <w:tcPr>
            <w:tcW w:w="2409" w:type="dxa"/>
            <w:tcBorders>
              <w:top w:val="single" w:sz="8" w:space="0" w:color="FFFFFF" w:themeColor="background1"/>
              <w:bottom w:val="single" w:sz="8" w:space="0" w:color="FFFFFF" w:themeColor="background1"/>
            </w:tcBorders>
            <w:shd w:val="clear" w:color="auto" w:fill="C2DADB" w:themeFill="accent6" w:themeFillTint="99"/>
            <w:tcMar>
              <w:left w:w="57" w:type="dxa"/>
              <w:right w:w="57" w:type="dxa"/>
            </w:tcMar>
          </w:tcPr>
          <w:p w14:paraId="754194A8" w14:textId="77777777" w:rsidR="00AE53DD" w:rsidRPr="00DA1120" w:rsidRDefault="00AE53DD" w:rsidP="00DC44AB">
            <w:pPr>
              <w:pStyle w:val="TableTextEntries"/>
            </w:pPr>
            <w:r>
              <w:t xml:space="preserve">GSI reduction: </w:t>
            </w:r>
            <w:r w:rsidRPr="005623E7">
              <w:rPr>
                <w:b/>
              </w:rPr>
              <w:t>0.3</w:t>
            </w:r>
            <w:r>
              <w:rPr>
                <w:b/>
              </w:rPr>
              <w:t xml:space="preserve"> per cent </w:t>
            </w:r>
            <w:r>
              <w:t>to</w:t>
            </w:r>
            <w:r w:rsidRPr="005623E7">
              <w:rPr>
                <w:b/>
              </w:rPr>
              <w:t xml:space="preserve"> 0.4</w:t>
            </w:r>
            <w:r>
              <w:rPr>
                <w:b/>
              </w:rPr>
              <w:t xml:space="preserve"> per cent</w:t>
            </w:r>
            <w:r w:rsidRPr="00DA1120">
              <w:t xml:space="preserve"> </w:t>
            </w:r>
          </w:p>
          <w:p w14:paraId="6FF0E17F" w14:textId="70C0A701" w:rsidR="00AE53DD" w:rsidRDefault="008D1EDC" w:rsidP="00DC44AB">
            <w:pPr>
              <w:pStyle w:val="TableTextEntries"/>
              <w:rPr>
                <w:lang w:bidi="fa-IR"/>
              </w:rPr>
            </w:pPr>
            <w:r>
              <w:t>Equal l</w:t>
            </w:r>
            <w:r w:rsidR="007955C9">
              <w:t xml:space="preserve">owest GSI loss in </w:t>
            </w:r>
            <w:r w:rsidR="007955C9" w:rsidRPr="00D359DA">
              <w:rPr>
                <w:i/>
              </w:rPr>
              <w:t>VIC emissions (65% 2030)</w:t>
            </w:r>
            <w:r>
              <w:rPr>
                <w:i/>
              </w:rPr>
              <w:t xml:space="preserve">, </w:t>
            </w:r>
            <w:r w:rsidRPr="00D359DA">
              <w:rPr>
                <w:i/>
              </w:rPr>
              <w:t>VIC emissions (</w:t>
            </w:r>
            <w:r>
              <w:rPr>
                <w:i/>
              </w:rPr>
              <w:t>5</w:t>
            </w:r>
            <w:r w:rsidRPr="00D359DA">
              <w:rPr>
                <w:i/>
              </w:rPr>
              <w:t>5% 2030)</w:t>
            </w:r>
            <w:r>
              <w:rPr>
                <w:i/>
              </w:rPr>
              <w:t xml:space="preserve"> </w:t>
            </w:r>
            <w:r w:rsidRPr="008D1EDC">
              <w:t>and</w:t>
            </w:r>
            <w:r>
              <w:rPr>
                <w:i/>
              </w:rPr>
              <w:t xml:space="preserve"> </w:t>
            </w:r>
            <w:r w:rsidRPr="00D359DA">
              <w:rPr>
                <w:i/>
              </w:rPr>
              <w:t>VIC emissions (</w:t>
            </w:r>
            <w:r>
              <w:rPr>
                <w:i/>
              </w:rPr>
              <w:t>4</w:t>
            </w:r>
            <w:r w:rsidRPr="00D359DA">
              <w:rPr>
                <w:i/>
              </w:rPr>
              <w:t>5% 2030)</w:t>
            </w:r>
          </w:p>
        </w:tc>
        <w:tc>
          <w:tcPr>
            <w:tcW w:w="2409" w:type="dxa"/>
            <w:tcBorders>
              <w:top w:val="single" w:sz="8" w:space="0" w:color="FFFFFF" w:themeColor="background1"/>
              <w:bottom w:val="single" w:sz="8" w:space="0" w:color="FFFFFF" w:themeColor="background1"/>
            </w:tcBorders>
            <w:shd w:val="clear" w:color="auto" w:fill="C2DADB" w:themeFill="accent6" w:themeFillTint="99"/>
            <w:tcMar>
              <w:left w:w="57" w:type="dxa"/>
              <w:right w:w="57" w:type="dxa"/>
            </w:tcMar>
          </w:tcPr>
          <w:p w14:paraId="0707B7B5" w14:textId="77777777" w:rsidR="00AE53DD" w:rsidRPr="00DA1120" w:rsidRDefault="00AE53DD" w:rsidP="00DC44AB">
            <w:pPr>
              <w:pStyle w:val="TableTextEntries"/>
            </w:pPr>
            <w:r>
              <w:t xml:space="preserve">GSI reduction: </w:t>
            </w:r>
            <w:r>
              <w:rPr>
                <w:b/>
              </w:rPr>
              <w:t xml:space="preserve">2.1 per cent </w:t>
            </w:r>
            <w:r>
              <w:t xml:space="preserve">to </w:t>
            </w:r>
            <w:r w:rsidRPr="005623E7">
              <w:rPr>
                <w:b/>
              </w:rPr>
              <w:t>2.9</w:t>
            </w:r>
            <w:r>
              <w:rPr>
                <w:b/>
              </w:rPr>
              <w:t xml:space="preserve"> per cent</w:t>
            </w:r>
            <w:r w:rsidRPr="00DA1120">
              <w:t xml:space="preserve"> </w:t>
            </w:r>
          </w:p>
          <w:p w14:paraId="4E1F43E4" w14:textId="19636DCD" w:rsidR="00AE53DD" w:rsidRDefault="007955C9" w:rsidP="00DC44AB">
            <w:pPr>
              <w:pStyle w:val="TableTextEntries"/>
              <w:rPr>
                <w:lang w:bidi="fa-IR"/>
              </w:rPr>
            </w:pPr>
            <w:r>
              <w:t xml:space="preserve">Lowest GSI loss in </w:t>
            </w:r>
            <w:r w:rsidRPr="00D359DA">
              <w:rPr>
                <w:i/>
              </w:rPr>
              <w:t>VIC emissions (65% 2030)</w:t>
            </w:r>
            <w:r w:rsidR="00AE710A">
              <w:rPr>
                <w:i/>
              </w:rPr>
              <w:t xml:space="preserve"> </w:t>
            </w:r>
            <w:r w:rsidR="00AE710A">
              <w:t>followed by (</w:t>
            </w:r>
            <w:r w:rsidR="00AE710A" w:rsidRPr="00435332">
              <w:rPr>
                <w:i/>
              </w:rPr>
              <w:t>55% 2030</w:t>
            </w:r>
            <w:r w:rsidR="00AE710A">
              <w:t>).</w:t>
            </w:r>
          </w:p>
        </w:tc>
      </w:tr>
      <w:tr w:rsidR="00AE53DD" w14:paraId="05B295DC" w14:textId="77777777" w:rsidTr="00FA5111">
        <w:tc>
          <w:tcPr>
            <w:tcW w:w="3119" w:type="dxa"/>
            <w:tcBorders>
              <w:top w:val="single" w:sz="8" w:space="0" w:color="FFFFFF" w:themeColor="background1"/>
              <w:bottom w:val="single" w:sz="6" w:space="0" w:color="6F6652"/>
            </w:tcBorders>
            <w:shd w:val="clear" w:color="auto" w:fill="E9E8E5" w:themeFill="background2"/>
            <w:tcMar>
              <w:left w:w="57" w:type="dxa"/>
              <w:right w:w="57" w:type="dxa"/>
            </w:tcMar>
          </w:tcPr>
          <w:p w14:paraId="5C3A7349" w14:textId="77777777" w:rsidR="00AE53DD" w:rsidRPr="009567A8" w:rsidRDefault="00AE53DD" w:rsidP="00DC44AB">
            <w:pPr>
              <w:pStyle w:val="TableTextEntries"/>
              <w:rPr>
                <w:b/>
                <w:lang w:bidi="fa-IR"/>
              </w:rPr>
            </w:pPr>
            <w:r w:rsidRPr="009567A8">
              <w:rPr>
                <w:b/>
                <w:lang w:bidi="fa-IR"/>
              </w:rPr>
              <w:t>7 per cent</w:t>
            </w:r>
          </w:p>
          <w:p w14:paraId="49659EC5" w14:textId="0E3A927A" w:rsidR="00AE53DD" w:rsidRPr="009567A8" w:rsidRDefault="00FA5111" w:rsidP="00DC44AB">
            <w:pPr>
              <w:pStyle w:val="TableTextEntries"/>
              <w:rPr>
                <w:i/>
                <w:lang w:bidi="fa-IR"/>
              </w:rPr>
            </w:pPr>
            <w:r w:rsidRPr="009567A8">
              <w:rPr>
                <w:i/>
                <w:lang w:bidi="fa-IR"/>
              </w:rPr>
              <w:t>Represents opportunity cost of capital; a rate often used for Government cost-benefit analysis and regulatory impact analysis. Generally, applies to periods less than 50 years.</w:t>
            </w:r>
          </w:p>
        </w:tc>
        <w:tc>
          <w:tcPr>
            <w:tcW w:w="2409" w:type="dxa"/>
            <w:tcBorders>
              <w:top w:val="single" w:sz="8" w:space="0" w:color="FFFFFF" w:themeColor="background1"/>
              <w:bottom w:val="single" w:sz="6" w:space="0" w:color="6F6652"/>
            </w:tcBorders>
            <w:shd w:val="clear" w:color="auto" w:fill="C2DADB" w:themeFill="accent6" w:themeFillTint="99"/>
            <w:tcMar>
              <w:left w:w="57" w:type="dxa"/>
              <w:right w:w="57" w:type="dxa"/>
            </w:tcMar>
          </w:tcPr>
          <w:p w14:paraId="5C80C7D3" w14:textId="77777777" w:rsidR="008D1EDC" w:rsidRDefault="00AE53DD" w:rsidP="00DC44AB">
            <w:pPr>
              <w:pStyle w:val="TableTextEntries"/>
            </w:pPr>
            <w:r>
              <w:t xml:space="preserve">GSI reduction: </w:t>
            </w:r>
            <w:r>
              <w:rPr>
                <w:b/>
              </w:rPr>
              <w:t xml:space="preserve">0.2 per cent </w:t>
            </w:r>
            <w:r>
              <w:t xml:space="preserve">to </w:t>
            </w:r>
            <w:r w:rsidRPr="005623E7">
              <w:rPr>
                <w:b/>
              </w:rPr>
              <w:t>0.3</w:t>
            </w:r>
            <w:r>
              <w:rPr>
                <w:b/>
              </w:rPr>
              <w:t xml:space="preserve"> per cent</w:t>
            </w:r>
            <w:r>
              <w:t xml:space="preserve"> </w:t>
            </w:r>
          </w:p>
          <w:p w14:paraId="5A88D0F1" w14:textId="32EC5D3B" w:rsidR="00AE53DD" w:rsidRDefault="008D1EDC" w:rsidP="00DC44AB">
            <w:pPr>
              <w:pStyle w:val="TableTextEntries"/>
            </w:pPr>
            <w:r>
              <w:t xml:space="preserve">Equal lowest GSI loss in </w:t>
            </w:r>
            <w:r w:rsidRPr="00D359DA">
              <w:rPr>
                <w:i/>
              </w:rPr>
              <w:t>VIC emissions (65% 2030)</w:t>
            </w:r>
            <w:r>
              <w:rPr>
                <w:i/>
              </w:rPr>
              <w:t xml:space="preserve"> </w:t>
            </w:r>
            <w:r>
              <w:t xml:space="preserve">and </w:t>
            </w:r>
            <w:r w:rsidRPr="00D359DA">
              <w:rPr>
                <w:i/>
              </w:rPr>
              <w:t>VIC emissions (</w:t>
            </w:r>
            <w:r>
              <w:rPr>
                <w:i/>
              </w:rPr>
              <w:t>5</w:t>
            </w:r>
            <w:r w:rsidRPr="00D359DA">
              <w:rPr>
                <w:i/>
              </w:rPr>
              <w:t>5% 2030)</w:t>
            </w:r>
            <w:r>
              <w:rPr>
                <w:i/>
              </w:rPr>
              <w:t xml:space="preserve"> </w:t>
            </w:r>
          </w:p>
        </w:tc>
        <w:tc>
          <w:tcPr>
            <w:tcW w:w="2409" w:type="dxa"/>
            <w:tcBorders>
              <w:top w:val="single" w:sz="8" w:space="0" w:color="FFFFFF" w:themeColor="background1"/>
              <w:bottom w:val="single" w:sz="6" w:space="0" w:color="6F6652"/>
            </w:tcBorders>
            <w:shd w:val="clear" w:color="auto" w:fill="C2DADB" w:themeFill="accent6" w:themeFillTint="99"/>
            <w:tcMar>
              <w:left w:w="57" w:type="dxa"/>
              <w:right w:w="57" w:type="dxa"/>
            </w:tcMar>
          </w:tcPr>
          <w:p w14:paraId="4DC4A489" w14:textId="77777777" w:rsidR="00AE53DD" w:rsidRPr="00DA1120" w:rsidRDefault="00AE53DD" w:rsidP="00DC44AB">
            <w:pPr>
              <w:pStyle w:val="TableTextEntries"/>
            </w:pPr>
            <w:r>
              <w:t xml:space="preserve">GSI reduction: </w:t>
            </w:r>
            <w:r w:rsidRPr="005623E7">
              <w:rPr>
                <w:b/>
              </w:rPr>
              <w:t>1.</w:t>
            </w:r>
            <w:r>
              <w:rPr>
                <w:b/>
              </w:rPr>
              <w:t xml:space="preserve">8 per cent </w:t>
            </w:r>
            <w:r>
              <w:t xml:space="preserve">to </w:t>
            </w:r>
            <w:r>
              <w:rPr>
                <w:b/>
              </w:rPr>
              <w:t>2.2 per cent</w:t>
            </w:r>
            <w:r w:rsidRPr="00DA1120">
              <w:t xml:space="preserve"> </w:t>
            </w:r>
          </w:p>
          <w:p w14:paraId="0BE906B2" w14:textId="460B8743" w:rsidR="00AE53DD" w:rsidRPr="00D359DA" w:rsidRDefault="008D1EDC" w:rsidP="00DC44AB">
            <w:pPr>
              <w:pStyle w:val="TableTextEntries"/>
              <w:rPr>
                <w:lang w:bidi="fa-IR"/>
              </w:rPr>
            </w:pPr>
            <w:r>
              <w:t xml:space="preserve">Equal lowest GSI loss in </w:t>
            </w:r>
            <w:r w:rsidRPr="00D359DA">
              <w:rPr>
                <w:i/>
              </w:rPr>
              <w:t>VIC emissions (65% 2030)</w:t>
            </w:r>
            <w:r>
              <w:rPr>
                <w:i/>
              </w:rPr>
              <w:t xml:space="preserve"> </w:t>
            </w:r>
            <w:r>
              <w:t xml:space="preserve">and </w:t>
            </w:r>
            <w:r w:rsidRPr="00D359DA">
              <w:rPr>
                <w:i/>
              </w:rPr>
              <w:t>VIC emissions (</w:t>
            </w:r>
            <w:r>
              <w:rPr>
                <w:i/>
              </w:rPr>
              <w:t>5</w:t>
            </w:r>
            <w:r w:rsidRPr="00D359DA">
              <w:rPr>
                <w:i/>
              </w:rPr>
              <w:t>5% 2030)</w:t>
            </w:r>
          </w:p>
        </w:tc>
      </w:tr>
    </w:tbl>
    <w:p w14:paraId="6764F107" w14:textId="3679616A" w:rsidR="008D1EDC" w:rsidRDefault="008D1EDC" w:rsidP="008D1EDC">
      <w:pPr>
        <w:pStyle w:val="Source"/>
        <w:rPr>
          <w:lang w:bidi="fa-IR"/>
        </w:rPr>
      </w:pPr>
      <w:r>
        <w:rPr>
          <w:lang w:bidi="fa-IR"/>
        </w:rPr>
        <w:t>Note: Emissions scenarios are ranked based on results to one decimal place</w:t>
      </w:r>
      <w:r w:rsidR="008F796A">
        <w:rPr>
          <w:lang w:bidi="fa-IR"/>
        </w:rPr>
        <w:t xml:space="preserve">. GSI loss between 2021 and 2050 is calculated in present value terms and expressed as a share of GSI in the baseline over the same </w:t>
      </w:r>
      <w:proofErr w:type="gramStart"/>
      <w:r w:rsidR="008F796A">
        <w:rPr>
          <w:lang w:bidi="fa-IR"/>
        </w:rPr>
        <w:t>time period</w:t>
      </w:r>
      <w:proofErr w:type="gramEnd"/>
      <w:r w:rsidR="008F796A">
        <w:rPr>
          <w:lang w:bidi="fa-IR"/>
        </w:rPr>
        <w:t>.</w:t>
      </w:r>
    </w:p>
    <w:p w14:paraId="0C3A3C61" w14:textId="426D9B2A" w:rsidR="00FA5111" w:rsidRDefault="00FA5111" w:rsidP="00FA5111">
      <w:pPr>
        <w:pStyle w:val="Source"/>
        <w:rPr>
          <w:lang w:bidi="fa-IR"/>
        </w:rPr>
      </w:pPr>
      <w:r w:rsidRPr="00A47BAB">
        <w:rPr>
          <w:i/>
          <w:lang w:bidi="fa-IR"/>
        </w:rPr>
        <w:t>Source:</w:t>
      </w:r>
      <w:r>
        <w:rPr>
          <w:lang w:bidi="fa-IR"/>
        </w:rPr>
        <w:t xml:space="preserve"> </w:t>
      </w:r>
      <w:r w:rsidR="009E4FAE">
        <w:rPr>
          <w:lang w:bidi="fa-IR"/>
        </w:rPr>
        <w:t>CIE calculations</w:t>
      </w:r>
    </w:p>
    <w:p w14:paraId="1936AA92" w14:textId="77777777" w:rsidR="000E176F" w:rsidRDefault="000E176F" w:rsidP="00F638AB">
      <w:pPr>
        <w:pStyle w:val="KeyPoint"/>
        <w:rPr>
          <w:lang w:bidi="fa-IR"/>
        </w:rPr>
      </w:pPr>
      <w:r>
        <w:rPr>
          <w:lang w:bidi="fa-IR"/>
        </w:rPr>
        <w:t>These results show that:</w:t>
      </w:r>
    </w:p>
    <w:p w14:paraId="4EB1CD94" w14:textId="77777777" w:rsidR="006C18E6" w:rsidRDefault="000E176F" w:rsidP="00F638AB">
      <w:pPr>
        <w:pStyle w:val="KeyPoint2"/>
        <w:rPr>
          <w:lang w:bidi="fa-IR"/>
        </w:rPr>
      </w:pPr>
      <w:r>
        <w:rPr>
          <w:lang w:bidi="fa-IR"/>
        </w:rPr>
        <w:t xml:space="preserve">Of the four paths for emissions reduction, the path </w:t>
      </w:r>
      <w:r>
        <w:rPr>
          <w:i/>
          <w:lang w:bidi="fa-IR"/>
        </w:rPr>
        <w:t>VIC emissions (65% 2030)</w:t>
      </w:r>
      <w:r>
        <w:rPr>
          <w:lang w:bidi="fa-IR"/>
        </w:rPr>
        <w:t xml:space="preserve">, consistently implies the lowest or equal lowest loss of GSI (in present value terms) under different assumptions. </w:t>
      </w:r>
    </w:p>
    <w:p w14:paraId="256F4785" w14:textId="0DDD0A1D" w:rsidR="000E176F" w:rsidRDefault="000E176F" w:rsidP="00F638AB">
      <w:pPr>
        <w:pStyle w:val="KeyPoint2"/>
        <w:rPr>
          <w:lang w:bidi="fa-IR"/>
        </w:rPr>
      </w:pPr>
      <w:r>
        <w:rPr>
          <w:lang w:bidi="fa-IR"/>
        </w:rPr>
        <w:t>If a flat cost curve is assumed, the differences between implied GSI loss across the scenarios are very small, almost negligible.</w:t>
      </w:r>
    </w:p>
    <w:p w14:paraId="73D9A0BF" w14:textId="5835797E" w:rsidR="006C18E6" w:rsidRDefault="006C18E6" w:rsidP="00F638AB">
      <w:pPr>
        <w:pStyle w:val="KeyPoint2"/>
        <w:rPr>
          <w:lang w:bidi="fa-IR"/>
        </w:rPr>
      </w:pPr>
      <w:r>
        <w:rPr>
          <w:lang w:bidi="fa-IR"/>
        </w:rPr>
        <w:t>While there are differences in the absolute amount of GSI loss for different choices of cost curve, the choice of cost curve does not affect the ranking of the options.</w:t>
      </w:r>
    </w:p>
    <w:p w14:paraId="777EC30C" w14:textId="209D2540" w:rsidR="006C18E6" w:rsidRDefault="006C18E6" w:rsidP="00F638AB">
      <w:pPr>
        <w:pStyle w:val="KeyPoint2"/>
        <w:rPr>
          <w:lang w:bidi="fa-IR"/>
        </w:rPr>
      </w:pPr>
      <w:r>
        <w:rPr>
          <w:lang w:bidi="fa-IR"/>
        </w:rPr>
        <w:t>While there are differences in outcomes from different discount rates, the rankings of the pathways are not affected by the choice of discount rate.</w:t>
      </w:r>
    </w:p>
    <w:p w14:paraId="01E6620B" w14:textId="64AF161E" w:rsidR="009E4FAE" w:rsidRDefault="00F638AB" w:rsidP="00F638AB">
      <w:pPr>
        <w:pStyle w:val="KeyPoint"/>
        <w:rPr>
          <w:lang w:bidi="fa-IR"/>
        </w:rPr>
      </w:pPr>
      <w:r>
        <w:rPr>
          <w:lang w:bidi="fa-IR"/>
        </w:rPr>
        <w:lastRenderedPageBreak/>
        <w:t xml:space="preserve">Overall, for different combinations of cost curves and discount rates the ranking of options is consistent, with </w:t>
      </w:r>
      <w:r w:rsidR="008855F6">
        <w:rPr>
          <w:lang w:bidi="fa-IR"/>
        </w:rPr>
        <w:t xml:space="preserve">emissions paths that imply </w:t>
      </w:r>
      <w:r>
        <w:rPr>
          <w:lang w:bidi="fa-IR"/>
        </w:rPr>
        <w:t xml:space="preserve">higher initial reductions </w:t>
      </w:r>
      <w:r w:rsidR="008855F6">
        <w:rPr>
          <w:lang w:bidi="fa-IR"/>
        </w:rPr>
        <w:t>implying lower total GSI losses (relative to paths that imply</w:t>
      </w:r>
      <w:r>
        <w:rPr>
          <w:lang w:bidi="fa-IR"/>
        </w:rPr>
        <w:t xml:space="preserve"> lower initial reductions</w:t>
      </w:r>
      <w:r w:rsidR="008855F6">
        <w:rPr>
          <w:lang w:bidi="fa-IR"/>
        </w:rPr>
        <w:t>)</w:t>
      </w:r>
    </w:p>
    <w:p w14:paraId="0050839F" w14:textId="540218E1" w:rsidR="00F638AB" w:rsidRDefault="00F638AB" w:rsidP="00F638AB">
      <w:pPr>
        <w:pStyle w:val="KeyPoint2"/>
        <w:rPr>
          <w:lang w:bidi="fa-IR"/>
        </w:rPr>
      </w:pPr>
      <w:r>
        <w:rPr>
          <w:lang w:bidi="fa-IR"/>
        </w:rPr>
        <w:t>These results also hold for a range of sensitivity analyses.</w:t>
      </w:r>
    </w:p>
    <w:p w14:paraId="6F815916" w14:textId="2D409D75" w:rsidR="004A6A04" w:rsidRPr="004A6A04" w:rsidRDefault="004A6A04" w:rsidP="004A6A04">
      <w:pPr>
        <w:pStyle w:val="KeyPoint"/>
        <w:rPr>
          <w:lang w:bidi="fa-IR"/>
        </w:rPr>
      </w:pPr>
      <w:r>
        <w:rPr>
          <w:lang w:bidi="fa-IR"/>
        </w:rPr>
        <w:t>In considering these pathways results, it is important to note that both academic reviewers for this project, and the CIE, consider</w:t>
      </w:r>
      <w:r w:rsidR="0092615F">
        <w:rPr>
          <w:lang w:bidi="fa-IR"/>
        </w:rPr>
        <w:t>ed</w:t>
      </w:r>
      <w:r>
        <w:rPr>
          <w:lang w:bidi="fa-IR"/>
        </w:rPr>
        <w:t xml:space="preserve"> that the 65 per </w:t>
      </w:r>
      <w:r w:rsidR="0092615F">
        <w:rPr>
          <w:lang w:bidi="fa-IR"/>
        </w:rPr>
        <w:t>cent pathway</w:t>
      </w:r>
      <w:r>
        <w:rPr>
          <w:lang w:bidi="fa-IR"/>
        </w:rPr>
        <w:t xml:space="preserve"> may not be credible as </w:t>
      </w:r>
      <w:r w:rsidR="0092615F">
        <w:rPr>
          <w:lang w:bidi="fa-IR"/>
        </w:rPr>
        <w:t>it</w:t>
      </w:r>
      <w:r>
        <w:rPr>
          <w:lang w:bidi="fa-IR"/>
        </w:rPr>
        <w:t xml:space="preserve"> involve</w:t>
      </w:r>
      <w:r w:rsidR="0092615F">
        <w:rPr>
          <w:lang w:bidi="fa-IR"/>
        </w:rPr>
        <w:t>s</w:t>
      </w:r>
      <w:r>
        <w:rPr>
          <w:lang w:bidi="fa-IR"/>
        </w:rPr>
        <w:t xml:space="preserve"> periods of time with no abatement </w:t>
      </w:r>
      <w:r w:rsidR="000D43BB">
        <w:rPr>
          <w:lang w:bidi="fa-IR"/>
        </w:rPr>
        <w:t>required in later years</w:t>
      </w:r>
      <w:r>
        <w:rPr>
          <w:lang w:bidi="fa-IR"/>
        </w:rPr>
        <w:t>.</w:t>
      </w:r>
      <w:r w:rsidR="0092615F">
        <w:rPr>
          <w:lang w:bidi="fa-IR"/>
        </w:rPr>
        <w:t xml:space="preserve"> The CIE has similar concerns about the 55 per cent pathway, particularly when it is compared with business as usual emissions.</w:t>
      </w:r>
    </w:p>
    <w:p w14:paraId="413698D8" w14:textId="0CF523C2" w:rsidR="00AE53DD" w:rsidRDefault="00AE53DD" w:rsidP="00683076">
      <w:pPr>
        <w:pStyle w:val="HighlightMessage"/>
        <w:rPr>
          <w:lang w:bidi="fa-IR"/>
        </w:rPr>
      </w:pPr>
      <w:r>
        <w:rPr>
          <w:lang w:bidi="fa-IR"/>
        </w:rPr>
        <w:t xml:space="preserve">What factors are missing from </w:t>
      </w:r>
      <w:r w:rsidR="00683076">
        <w:rPr>
          <w:lang w:bidi="fa-IR"/>
        </w:rPr>
        <w:t>the modelling</w:t>
      </w:r>
      <w:r>
        <w:rPr>
          <w:lang w:bidi="fa-IR"/>
        </w:rPr>
        <w:t>?</w:t>
      </w:r>
    </w:p>
    <w:p w14:paraId="3369832C" w14:textId="1C38E7C5" w:rsidR="004A6A04" w:rsidRPr="004A6A04" w:rsidRDefault="004A6A04" w:rsidP="000053A0">
      <w:pPr>
        <w:pStyle w:val="KeyPoint"/>
        <w:rPr>
          <w:lang w:bidi="fa-IR"/>
        </w:rPr>
      </w:pPr>
      <w:r>
        <w:rPr>
          <w:lang w:bidi="fa-IR"/>
        </w:rPr>
        <w:t xml:space="preserve">There are </w:t>
      </w:r>
      <w:r w:rsidR="00996616">
        <w:rPr>
          <w:lang w:bidi="fa-IR"/>
        </w:rPr>
        <w:t>several</w:t>
      </w:r>
      <w:r>
        <w:rPr>
          <w:lang w:bidi="fa-IR"/>
        </w:rPr>
        <w:t xml:space="preserve"> factors not explicitly considered in the modelling which are likely to affect the relative costs of alternative pathways.</w:t>
      </w:r>
    </w:p>
    <w:p w14:paraId="682061E0" w14:textId="06D4EDC1" w:rsidR="004A6A04" w:rsidRDefault="004A6A04" w:rsidP="000053A0">
      <w:pPr>
        <w:pStyle w:val="KeyPoint"/>
        <w:rPr>
          <w:lang w:bidi="fa-IR"/>
        </w:rPr>
      </w:pPr>
      <w:r>
        <w:rPr>
          <w:lang w:bidi="fa-IR"/>
        </w:rPr>
        <w:t>First, e</w:t>
      </w:r>
      <w:r w:rsidR="00AE53DD">
        <w:rPr>
          <w:lang w:bidi="fa-IR"/>
        </w:rPr>
        <w:t>mission reduction require</w:t>
      </w:r>
      <w:r>
        <w:rPr>
          <w:lang w:bidi="fa-IR"/>
        </w:rPr>
        <w:t>s</w:t>
      </w:r>
      <w:r w:rsidR="00AE53DD">
        <w:rPr>
          <w:lang w:bidi="fa-IR"/>
        </w:rPr>
        <w:t xml:space="preserve"> capital and labour to be reallocated from emissions intensive industries into low emissions industries. This will likely create adjustment costs </w:t>
      </w:r>
      <w:r>
        <w:rPr>
          <w:lang w:bidi="fa-IR"/>
        </w:rPr>
        <w:t>not incorporated in the modelling.</w:t>
      </w:r>
    </w:p>
    <w:p w14:paraId="3825D6D0" w14:textId="2E3A1BAE" w:rsidR="004A6A04" w:rsidRDefault="004A6A04" w:rsidP="000053A0">
      <w:pPr>
        <w:pStyle w:val="KeyPoint"/>
        <w:rPr>
          <w:lang w:bidi="fa-IR"/>
        </w:rPr>
      </w:pPr>
      <w:r>
        <w:rPr>
          <w:lang w:bidi="fa-IR"/>
        </w:rPr>
        <w:t>Second,</w:t>
      </w:r>
      <w:r w:rsidR="00AE53DD">
        <w:rPr>
          <w:lang w:bidi="fa-IR"/>
        </w:rPr>
        <w:t xml:space="preserve"> the adoption and integration of new technologies into the economy and </w:t>
      </w:r>
      <w:r w:rsidR="005F2866">
        <w:rPr>
          <w:lang w:bidi="fa-IR"/>
        </w:rPr>
        <w:t xml:space="preserve">sequestration and </w:t>
      </w:r>
      <w:r w:rsidR="00AE53DD">
        <w:rPr>
          <w:lang w:bidi="fa-IR"/>
        </w:rPr>
        <w:t xml:space="preserve">afforestation may also create adjustment costs </w:t>
      </w:r>
      <w:r>
        <w:rPr>
          <w:lang w:bidi="fa-IR"/>
        </w:rPr>
        <w:t>depending on the policy framework adopted.</w:t>
      </w:r>
      <w:r w:rsidR="0066403C">
        <w:rPr>
          <w:lang w:bidi="fa-IR"/>
        </w:rPr>
        <w:t xml:space="preserve"> </w:t>
      </w:r>
    </w:p>
    <w:p w14:paraId="2861D4EB" w14:textId="36AB3829" w:rsidR="00AE53DD" w:rsidRDefault="004A6A04" w:rsidP="000053A0">
      <w:pPr>
        <w:pStyle w:val="KeyPoint"/>
        <w:rPr>
          <w:lang w:bidi="fa-IR"/>
        </w:rPr>
      </w:pPr>
      <w:r>
        <w:rPr>
          <w:lang w:bidi="fa-IR"/>
        </w:rPr>
        <w:t>Third</w:t>
      </w:r>
      <w:r w:rsidR="0066403C">
        <w:rPr>
          <w:lang w:bidi="fa-IR"/>
        </w:rPr>
        <w:t>,</w:t>
      </w:r>
      <w:r>
        <w:rPr>
          <w:lang w:bidi="fa-IR"/>
        </w:rPr>
        <w:t xml:space="preserve"> the modelling assumes that policy is implemented through an ‘ideal’ carbon tax. P</w:t>
      </w:r>
      <w:r w:rsidR="00AE53DD">
        <w:rPr>
          <w:lang w:bidi="fa-IR"/>
        </w:rPr>
        <w:t xml:space="preserve">olicies </w:t>
      </w:r>
      <w:proofErr w:type="gramStart"/>
      <w:r>
        <w:rPr>
          <w:lang w:bidi="fa-IR"/>
        </w:rPr>
        <w:t>actually implemented</w:t>
      </w:r>
      <w:proofErr w:type="gramEnd"/>
      <w:r>
        <w:rPr>
          <w:lang w:bidi="fa-IR"/>
        </w:rPr>
        <w:t xml:space="preserve"> may involve additional distortions and costs not covered in the modelling. </w:t>
      </w:r>
    </w:p>
    <w:p w14:paraId="4C320613" w14:textId="61E83EAB" w:rsidR="00AE53DD" w:rsidRDefault="00AE53DD" w:rsidP="000053A0">
      <w:pPr>
        <w:pStyle w:val="KeyPoint"/>
        <w:rPr>
          <w:lang w:bidi="fa-IR"/>
        </w:rPr>
      </w:pPr>
      <w:r>
        <w:rPr>
          <w:lang w:bidi="fa-IR"/>
        </w:rPr>
        <w:t xml:space="preserve">Concentrating emissions reduction in one </w:t>
      </w:r>
      <w:proofErr w:type="gramStart"/>
      <w:r>
        <w:rPr>
          <w:lang w:bidi="fa-IR"/>
        </w:rPr>
        <w:t>particular period</w:t>
      </w:r>
      <w:proofErr w:type="gramEnd"/>
      <w:r>
        <w:rPr>
          <w:lang w:bidi="fa-IR"/>
        </w:rPr>
        <w:t xml:space="preserve"> will likely exacerbate any costs associated with adjustment and </w:t>
      </w:r>
      <w:r w:rsidR="00996616">
        <w:rPr>
          <w:lang w:bidi="fa-IR"/>
        </w:rPr>
        <w:t>actual</w:t>
      </w:r>
      <w:r>
        <w:rPr>
          <w:lang w:bidi="fa-IR"/>
        </w:rPr>
        <w:t xml:space="preserve"> policies. </w:t>
      </w:r>
      <w:r w:rsidR="0066403C">
        <w:rPr>
          <w:lang w:bidi="fa-IR"/>
        </w:rPr>
        <w:t>This implies planned emission reductions should be even over time.</w:t>
      </w:r>
    </w:p>
    <w:p w14:paraId="5B65CBC9" w14:textId="77777777" w:rsidR="00292955" w:rsidRDefault="00C134EF" w:rsidP="00C97F0D">
      <w:pPr>
        <w:pStyle w:val="Heading1"/>
        <w:rPr>
          <w:lang w:bidi="fa-IR"/>
        </w:rPr>
      </w:pPr>
      <w:bookmarkStart w:id="15" w:name="_Toc9778448"/>
      <w:r>
        <w:rPr>
          <w:lang w:bidi="fa-IR"/>
        </w:rPr>
        <w:lastRenderedPageBreak/>
        <w:t>Introduction and context</w:t>
      </w:r>
      <w:bookmarkEnd w:id="15"/>
    </w:p>
    <w:p w14:paraId="45BC974B" w14:textId="78F9D741" w:rsidR="007E12FD" w:rsidRDefault="007E12FD" w:rsidP="007E12FD">
      <w:pPr>
        <w:pStyle w:val="BodyText"/>
        <w:rPr>
          <w:lang w:bidi="fa-IR"/>
        </w:rPr>
      </w:pPr>
      <w:r>
        <w:rPr>
          <w:lang w:bidi="fa-IR"/>
        </w:rPr>
        <w:t>The Victorian Government has legislated that Victoria should achieve net zero greenhouse gas emissions (emissions of CO</w:t>
      </w:r>
      <w:r>
        <w:rPr>
          <w:vertAlign w:val="subscript"/>
          <w:lang w:bidi="fa-IR"/>
        </w:rPr>
        <w:t>2</w:t>
      </w:r>
      <w:r>
        <w:rPr>
          <w:lang w:bidi="fa-IR"/>
        </w:rPr>
        <w:t>e) by 2050. The Government has appointed an Independent Expert Panel</w:t>
      </w:r>
      <w:r>
        <w:rPr>
          <w:rStyle w:val="FootnoteReference"/>
          <w:lang w:bidi="fa-IR"/>
        </w:rPr>
        <w:footnoteReference w:id="1"/>
      </w:r>
      <w:r>
        <w:rPr>
          <w:lang w:bidi="fa-IR"/>
        </w:rPr>
        <w:t xml:space="preserve"> to provide advice on the path net emissions should take in achieving this target. </w:t>
      </w:r>
    </w:p>
    <w:p w14:paraId="6F04F06F" w14:textId="77777777" w:rsidR="007E12FD" w:rsidRDefault="007E12FD" w:rsidP="007E12FD">
      <w:pPr>
        <w:pStyle w:val="BodyText"/>
        <w:rPr>
          <w:lang w:bidi="fa-IR"/>
        </w:rPr>
      </w:pPr>
      <w:r>
        <w:rPr>
          <w:lang w:bidi="fa-IR"/>
        </w:rPr>
        <w:t xml:space="preserve">The Department of Environment, Land, Water and Planning (the Department), on behalf of the Panel, has commissioned the CIE to review studies on emissions reductions policies and provide advice on the potential macroeconomic impacts of proposed emission reductions paths for Victoria. </w:t>
      </w:r>
    </w:p>
    <w:p w14:paraId="2B88CA83" w14:textId="03337B19" w:rsidR="007E12FD" w:rsidRDefault="007E12FD" w:rsidP="007E12FD">
      <w:pPr>
        <w:pStyle w:val="BodyText"/>
        <w:rPr>
          <w:lang w:bidi="fa-IR"/>
        </w:rPr>
      </w:pPr>
      <w:r>
        <w:rPr>
          <w:lang w:bidi="fa-IR"/>
        </w:rPr>
        <w:t>For this work the Department has provided The CIE with alternate emissions reduction paths for consideration. Each of these paths meets the legislated goa</w:t>
      </w:r>
      <w:r w:rsidR="00E64173">
        <w:rPr>
          <w:lang w:bidi="fa-IR"/>
        </w:rPr>
        <w:t xml:space="preserve">l of net zero emissions by 2050 </w:t>
      </w:r>
      <w:proofErr w:type="gramStart"/>
      <w:r>
        <w:rPr>
          <w:lang w:bidi="fa-IR"/>
        </w:rPr>
        <w:t>and also</w:t>
      </w:r>
      <w:proofErr w:type="gramEnd"/>
      <w:r>
        <w:rPr>
          <w:lang w:bidi="fa-IR"/>
        </w:rPr>
        <w:t xml:space="preserve"> </w:t>
      </w:r>
      <w:r w:rsidR="005F33C7">
        <w:rPr>
          <w:lang w:bidi="fa-IR"/>
        </w:rPr>
        <w:t>meets an assumed e</w:t>
      </w:r>
      <w:r>
        <w:rPr>
          <w:lang w:bidi="fa-IR"/>
        </w:rPr>
        <w:t xml:space="preserve">missions </w:t>
      </w:r>
      <w:r w:rsidR="008855F6">
        <w:rPr>
          <w:lang w:bidi="fa-IR"/>
        </w:rPr>
        <w:t xml:space="preserve">budget </w:t>
      </w:r>
      <w:r>
        <w:rPr>
          <w:lang w:bidi="fa-IR"/>
        </w:rPr>
        <w:t>between 2017 and 2050 of 1.9</w:t>
      </w:r>
      <w:r w:rsidR="005F33C7">
        <w:rPr>
          <w:lang w:bidi="fa-IR"/>
        </w:rPr>
        <w:t> </w:t>
      </w:r>
      <w:r w:rsidR="00E65913">
        <w:rPr>
          <w:lang w:bidi="fa-IR"/>
        </w:rPr>
        <w:t>Gt</w:t>
      </w:r>
      <w:r w:rsidR="00E64173">
        <w:rPr>
          <w:lang w:bidi="fa-IR"/>
        </w:rPr>
        <w:t>CO</w:t>
      </w:r>
      <w:r w:rsidR="00E64173">
        <w:rPr>
          <w:vertAlign w:val="subscript"/>
          <w:lang w:bidi="fa-IR"/>
        </w:rPr>
        <w:t>2</w:t>
      </w:r>
      <w:r w:rsidR="00E64173">
        <w:rPr>
          <w:lang w:bidi="fa-IR"/>
        </w:rPr>
        <w:t>e</w:t>
      </w:r>
      <w:r>
        <w:rPr>
          <w:lang w:bidi="fa-IR"/>
        </w:rPr>
        <w:t>.</w:t>
      </w:r>
      <w:r w:rsidR="005F33C7">
        <w:rPr>
          <w:lang w:bidi="fa-IR"/>
        </w:rPr>
        <w:t xml:space="preserve"> </w:t>
      </w:r>
      <w:r w:rsidR="00766DE8">
        <w:rPr>
          <w:lang w:bidi="fa-IR"/>
        </w:rPr>
        <w:t>Note that the reference year under the Act</w:t>
      </w:r>
      <w:r w:rsidR="00EB7212">
        <w:rPr>
          <w:lang w:bidi="fa-IR"/>
        </w:rPr>
        <w:t xml:space="preserve"> is 2005.</w:t>
      </w:r>
    </w:p>
    <w:p w14:paraId="221D49A2" w14:textId="35D5BC4D" w:rsidR="00A610B1" w:rsidRDefault="00A610B1" w:rsidP="007E12FD">
      <w:pPr>
        <w:pStyle w:val="BodyText"/>
        <w:rPr>
          <w:lang w:bidi="fa-IR"/>
        </w:rPr>
      </w:pPr>
      <w:r>
        <w:rPr>
          <w:lang w:bidi="fa-IR"/>
        </w:rPr>
        <w:t xml:space="preserve">Given the dual constrains (net zero by 2050 and a fixed </w:t>
      </w:r>
      <w:r w:rsidR="00A635A9">
        <w:rPr>
          <w:lang w:bidi="fa-IR"/>
        </w:rPr>
        <w:t>emissions</w:t>
      </w:r>
      <w:r>
        <w:rPr>
          <w:lang w:bidi="fa-IR"/>
        </w:rPr>
        <w:t xml:space="preserve"> budget), the policy question that motivates this study concerns the timing of emissions reduction. What are the relative costs of different paths for emissions reductions within these constraints? Or what are </w:t>
      </w:r>
      <w:r w:rsidR="005F33C7">
        <w:rPr>
          <w:lang w:bidi="fa-IR"/>
        </w:rPr>
        <w:t xml:space="preserve">the </w:t>
      </w:r>
      <w:r>
        <w:rPr>
          <w:lang w:bidi="fa-IR"/>
        </w:rPr>
        <w:t>implications of changing the timing of emissions reductions?</w:t>
      </w:r>
    </w:p>
    <w:p w14:paraId="515F9700" w14:textId="379A38A1" w:rsidR="00291652" w:rsidRDefault="00291652" w:rsidP="00291652">
      <w:pPr>
        <w:pStyle w:val="Heading2"/>
        <w:rPr>
          <w:lang w:bidi="fa-IR"/>
        </w:rPr>
      </w:pPr>
      <w:bookmarkStart w:id="16" w:name="_Toc9778449"/>
      <w:r>
        <w:rPr>
          <w:lang w:bidi="fa-IR"/>
        </w:rPr>
        <w:t>Paths being considered for abatement</w:t>
      </w:r>
      <w:bookmarkEnd w:id="16"/>
    </w:p>
    <w:p w14:paraId="0B0BC3FF" w14:textId="4F652405" w:rsidR="00E64173" w:rsidRDefault="00821DAF" w:rsidP="00E64173">
      <w:pPr>
        <w:pStyle w:val="BodyText"/>
        <w:rPr>
          <w:lang w:bidi="fa-IR"/>
        </w:rPr>
      </w:pPr>
      <w:r>
        <w:rPr>
          <w:lang w:bidi="fa-IR"/>
        </w:rPr>
        <w:t xml:space="preserve">For our analysis, the starting </w:t>
      </w:r>
      <w:r w:rsidR="00E64173">
        <w:rPr>
          <w:lang w:bidi="fa-IR"/>
        </w:rPr>
        <w:t xml:space="preserve">point is recorded </w:t>
      </w:r>
      <w:r w:rsidR="00E65913">
        <w:rPr>
          <w:lang w:bidi="fa-IR"/>
        </w:rPr>
        <w:t xml:space="preserve">net </w:t>
      </w:r>
      <w:r w:rsidR="00E64173">
        <w:rPr>
          <w:lang w:bidi="fa-IR"/>
        </w:rPr>
        <w:t>emissions in 2016 of 114 MtCO</w:t>
      </w:r>
      <w:r w:rsidR="00E64173">
        <w:rPr>
          <w:vertAlign w:val="subscript"/>
          <w:lang w:bidi="fa-IR"/>
        </w:rPr>
        <w:t>2</w:t>
      </w:r>
      <w:r w:rsidR="00E64173">
        <w:rPr>
          <w:lang w:bidi="fa-IR"/>
        </w:rPr>
        <w:t>e.</w:t>
      </w:r>
      <w:r w:rsidR="00E65913">
        <w:rPr>
          <w:rStyle w:val="FootnoteReference"/>
          <w:lang w:bidi="fa-IR"/>
        </w:rPr>
        <w:footnoteReference w:id="2"/>
      </w:r>
      <w:r w:rsidR="00E65913">
        <w:rPr>
          <w:lang w:bidi="fa-IR"/>
        </w:rPr>
        <w:t xml:space="preserve"> </w:t>
      </w:r>
    </w:p>
    <w:p w14:paraId="29225BAA" w14:textId="64129BFD" w:rsidR="00E64173" w:rsidRDefault="00E64173" w:rsidP="00E64173">
      <w:pPr>
        <w:pStyle w:val="BodyText"/>
        <w:rPr>
          <w:lang w:bidi="fa-IR"/>
        </w:rPr>
      </w:pPr>
      <w:r>
        <w:rPr>
          <w:lang w:bidi="fa-IR"/>
        </w:rPr>
        <w:t xml:space="preserve">From this point, the Department assumes that </w:t>
      </w:r>
      <w:r w:rsidR="00E65913">
        <w:rPr>
          <w:lang w:bidi="fa-IR"/>
        </w:rPr>
        <w:t xml:space="preserve">net </w:t>
      </w:r>
      <w:r>
        <w:rPr>
          <w:lang w:bidi="fa-IR"/>
        </w:rPr>
        <w:t>emissions fall to 102 MtCO</w:t>
      </w:r>
      <w:r>
        <w:rPr>
          <w:vertAlign w:val="subscript"/>
          <w:lang w:bidi="fa-IR"/>
        </w:rPr>
        <w:t>2</w:t>
      </w:r>
      <w:r>
        <w:rPr>
          <w:lang w:bidi="fa-IR"/>
        </w:rPr>
        <w:t>e in 2020</w:t>
      </w:r>
      <w:r w:rsidR="00E65913">
        <w:rPr>
          <w:lang w:bidi="fa-IR"/>
        </w:rPr>
        <w:t xml:space="preserve"> in all scenarios</w:t>
      </w:r>
      <w:r>
        <w:rPr>
          <w:lang w:bidi="fa-IR"/>
        </w:rPr>
        <w:t xml:space="preserve">. </w:t>
      </w:r>
    </w:p>
    <w:p w14:paraId="3A599FEF" w14:textId="4C23D8B7" w:rsidR="00180F64" w:rsidRDefault="00E64173" w:rsidP="00E64173">
      <w:pPr>
        <w:pStyle w:val="BodyText"/>
        <w:rPr>
          <w:lang w:bidi="fa-IR"/>
        </w:rPr>
      </w:pPr>
      <w:r>
        <w:rPr>
          <w:lang w:bidi="fa-IR"/>
        </w:rPr>
        <w:t xml:space="preserve">The Department has provided The CIE </w:t>
      </w:r>
      <w:r w:rsidR="00291652">
        <w:rPr>
          <w:lang w:bidi="fa-IR"/>
        </w:rPr>
        <w:t xml:space="preserve">with </w:t>
      </w:r>
      <w:r w:rsidR="00180F64">
        <w:rPr>
          <w:lang w:bidi="fa-IR"/>
        </w:rPr>
        <w:t>four</w:t>
      </w:r>
      <w:r w:rsidR="00291652">
        <w:rPr>
          <w:lang w:bidi="fa-IR"/>
        </w:rPr>
        <w:t xml:space="preserve"> different emissions reduction </w:t>
      </w:r>
      <w:r w:rsidR="00E65913">
        <w:rPr>
          <w:lang w:bidi="fa-IR"/>
        </w:rPr>
        <w:t xml:space="preserve">scenarios </w:t>
      </w:r>
      <w:r w:rsidR="004A5694">
        <w:rPr>
          <w:lang w:bidi="fa-IR"/>
        </w:rPr>
        <w:t>from</w:t>
      </w:r>
      <w:r w:rsidR="00E65913">
        <w:rPr>
          <w:lang w:bidi="fa-IR"/>
        </w:rPr>
        <w:t xml:space="preserve"> 2021 to 2050 </w:t>
      </w:r>
      <w:r w:rsidR="00291652">
        <w:rPr>
          <w:lang w:bidi="fa-IR"/>
        </w:rPr>
        <w:t xml:space="preserve">(Chart </w:t>
      </w:r>
      <w:r w:rsidR="00291652">
        <w:rPr>
          <w:lang w:bidi="fa-IR"/>
        </w:rPr>
        <w:fldChar w:fldCharType="begin"/>
      </w:r>
      <w:r w:rsidR="00291652">
        <w:rPr>
          <w:lang w:bidi="fa-IR"/>
        </w:rPr>
        <w:instrText xml:space="preserve"> REF _Caption7869 </w:instrText>
      </w:r>
      <w:r w:rsidR="00291652">
        <w:rPr>
          <w:lang w:bidi="fa-IR"/>
        </w:rPr>
        <w:fldChar w:fldCharType="separate"/>
      </w:r>
      <w:r w:rsidR="00ED1D13">
        <w:rPr>
          <w:noProof/>
        </w:rPr>
        <w:t>1</w:t>
      </w:r>
      <w:r w:rsidR="00ED1D13" w:rsidRPr="00695C93">
        <w:rPr>
          <w:noProof/>
        </w:rPr>
        <w:t>.</w:t>
      </w:r>
      <w:r w:rsidR="00ED1D13">
        <w:rPr>
          <w:noProof/>
        </w:rPr>
        <w:t>1</w:t>
      </w:r>
      <w:r w:rsidR="00291652">
        <w:rPr>
          <w:lang w:bidi="fa-IR"/>
        </w:rPr>
        <w:fldChar w:fldCharType="end"/>
      </w:r>
      <w:r w:rsidR="00E65913">
        <w:rPr>
          <w:lang w:bidi="fa-IR"/>
        </w:rPr>
        <w:t>). Each scenario sees net emissions fall to 0 MtCO</w:t>
      </w:r>
      <w:r w:rsidR="00E65913">
        <w:rPr>
          <w:vertAlign w:val="subscript"/>
          <w:lang w:bidi="fa-IR"/>
        </w:rPr>
        <w:t>2</w:t>
      </w:r>
      <w:r w:rsidR="00E65913">
        <w:rPr>
          <w:lang w:bidi="fa-IR"/>
        </w:rPr>
        <w:t xml:space="preserve">e </w:t>
      </w:r>
      <w:r w:rsidR="004A5694">
        <w:rPr>
          <w:lang w:bidi="fa-IR"/>
        </w:rPr>
        <w:t>i</w:t>
      </w:r>
      <w:r w:rsidR="00E65913">
        <w:rPr>
          <w:lang w:bidi="fa-IR"/>
        </w:rPr>
        <w:t xml:space="preserve">n </w:t>
      </w:r>
      <w:proofErr w:type="gramStart"/>
      <w:r w:rsidR="00E65913">
        <w:rPr>
          <w:lang w:bidi="fa-IR"/>
        </w:rPr>
        <w:t>2050, and</w:t>
      </w:r>
      <w:proofErr w:type="gramEnd"/>
      <w:r w:rsidR="00E65913">
        <w:rPr>
          <w:lang w:bidi="fa-IR"/>
        </w:rPr>
        <w:t xml:space="preserve"> </w:t>
      </w:r>
      <w:r w:rsidR="004A5694">
        <w:rPr>
          <w:lang w:bidi="fa-IR"/>
        </w:rPr>
        <w:t xml:space="preserve">sets total net emissions equal to an </w:t>
      </w:r>
      <w:r w:rsidR="00E65913">
        <w:rPr>
          <w:lang w:bidi="fa-IR"/>
        </w:rPr>
        <w:t>assumed budget of 1.9 GtCO</w:t>
      </w:r>
      <w:r w:rsidR="00E65913">
        <w:rPr>
          <w:vertAlign w:val="subscript"/>
          <w:lang w:bidi="fa-IR"/>
        </w:rPr>
        <w:t>2</w:t>
      </w:r>
      <w:r w:rsidR="00E65913">
        <w:rPr>
          <w:lang w:bidi="fa-IR"/>
        </w:rPr>
        <w:t>e between 2017 and 2050</w:t>
      </w:r>
      <w:r w:rsidR="00180F64">
        <w:rPr>
          <w:lang w:bidi="fa-IR"/>
        </w:rPr>
        <w:t>.</w:t>
      </w:r>
      <w:r w:rsidR="00180F64">
        <w:rPr>
          <w:rStyle w:val="FootnoteReference"/>
          <w:lang w:bidi="fa-IR"/>
        </w:rPr>
        <w:footnoteReference w:id="3"/>
      </w:r>
      <w:r w:rsidR="00876E69">
        <w:rPr>
          <w:lang w:bidi="fa-IR"/>
        </w:rPr>
        <w:t xml:space="preserve"> T</w:t>
      </w:r>
      <w:r w:rsidR="00291652">
        <w:rPr>
          <w:lang w:bidi="fa-IR"/>
        </w:rPr>
        <w:t xml:space="preserve">he </w:t>
      </w:r>
      <w:r w:rsidR="00E65913">
        <w:rPr>
          <w:lang w:bidi="fa-IR"/>
        </w:rPr>
        <w:t>scenarios</w:t>
      </w:r>
      <w:r w:rsidR="00291652">
        <w:rPr>
          <w:lang w:bidi="fa-IR"/>
        </w:rPr>
        <w:t xml:space="preserve"> differ in the </w:t>
      </w:r>
      <w:r w:rsidR="00876E69">
        <w:rPr>
          <w:lang w:bidi="fa-IR"/>
        </w:rPr>
        <w:t>path</w:t>
      </w:r>
      <w:r w:rsidR="00180F64">
        <w:rPr>
          <w:lang w:bidi="fa-IR"/>
        </w:rPr>
        <w:t xml:space="preserve"> of</w:t>
      </w:r>
      <w:r w:rsidR="00291652">
        <w:rPr>
          <w:lang w:bidi="fa-IR"/>
        </w:rPr>
        <w:t xml:space="preserve"> emissions reductions</w:t>
      </w:r>
      <w:r w:rsidR="0086438C">
        <w:rPr>
          <w:lang w:bidi="fa-IR"/>
        </w:rPr>
        <w:t>.</w:t>
      </w:r>
      <w:r w:rsidR="00291652">
        <w:rPr>
          <w:lang w:bidi="fa-IR"/>
        </w:rPr>
        <w:t xml:space="preserve"> </w:t>
      </w:r>
      <w:r w:rsidR="004A5694">
        <w:rPr>
          <w:lang w:bidi="fa-IR"/>
        </w:rPr>
        <w:t>The</w:t>
      </w:r>
      <w:r w:rsidR="00E65913">
        <w:rPr>
          <w:lang w:bidi="fa-IR"/>
        </w:rPr>
        <w:t xml:space="preserve"> scenarios are defined by different goals for the intermediate target of net emissions in 2030. Note that interaction between the two constrains (net zero emissions by 2050, and an assumed emissions budget</w:t>
      </w:r>
      <w:r w:rsidR="004A5694">
        <w:rPr>
          <w:lang w:bidi="fa-IR"/>
        </w:rPr>
        <w:t>)</w:t>
      </w:r>
      <w:r w:rsidR="00E65913">
        <w:rPr>
          <w:lang w:bidi="fa-IR"/>
        </w:rPr>
        <w:t xml:space="preserve"> red</w:t>
      </w:r>
      <w:r w:rsidR="004A5694">
        <w:rPr>
          <w:lang w:bidi="fa-IR"/>
        </w:rPr>
        <w:t>uces variance across the</w:t>
      </w:r>
      <w:r w:rsidR="00E65913">
        <w:rPr>
          <w:lang w:bidi="fa-IR"/>
        </w:rPr>
        <w:t xml:space="preserve"> scenarios: slower initial emissions </w:t>
      </w:r>
      <w:r w:rsidR="00E65913">
        <w:rPr>
          <w:lang w:bidi="fa-IR"/>
        </w:rPr>
        <w:lastRenderedPageBreak/>
        <w:t xml:space="preserve">reductions uses up more of the budget, and thus requires sharper reductions later, while faster initial reductions allows for </w:t>
      </w:r>
      <w:r w:rsidR="004A5694">
        <w:rPr>
          <w:lang w:bidi="fa-IR"/>
        </w:rPr>
        <w:t xml:space="preserve">slower </w:t>
      </w:r>
      <w:r w:rsidR="00E65913">
        <w:rPr>
          <w:lang w:bidi="fa-IR"/>
        </w:rPr>
        <w:t xml:space="preserve">reductions later. </w:t>
      </w:r>
    </w:p>
    <w:p w14:paraId="3CE966D8" w14:textId="1DEDA973" w:rsidR="00180F64" w:rsidRDefault="00606083" w:rsidP="00180F64">
      <w:pPr>
        <w:pStyle w:val="ListBullet"/>
        <w:rPr>
          <w:lang w:bidi="fa-IR"/>
        </w:rPr>
      </w:pPr>
      <w:r>
        <w:rPr>
          <w:lang w:bidi="fa-IR"/>
        </w:rPr>
        <w:t xml:space="preserve">The scenario </w:t>
      </w:r>
      <w:r w:rsidR="00180F64">
        <w:rPr>
          <w:i/>
          <w:lang w:bidi="fa-IR"/>
        </w:rPr>
        <w:t>VIC Emissions (2</w:t>
      </w:r>
      <w:r w:rsidR="008B749D">
        <w:rPr>
          <w:i/>
          <w:lang w:bidi="fa-IR"/>
        </w:rPr>
        <w:t>8</w:t>
      </w:r>
      <w:r w:rsidR="00180F64">
        <w:rPr>
          <w:i/>
          <w:lang w:bidi="fa-IR"/>
        </w:rPr>
        <w:t xml:space="preserve">% 2030) </w:t>
      </w:r>
      <w:r>
        <w:rPr>
          <w:lang w:bidi="fa-IR"/>
        </w:rPr>
        <w:t xml:space="preserve">initially sees slow </w:t>
      </w:r>
      <w:r w:rsidR="00180F64">
        <w:rPr>
          <w:lang w:bidi="fa-IR"/>
        </w:rPr>
        <w:t xml:space="preserve">emissions </w:t>
      </w:r>
      <w:r w:rsidR="00DF5B2E">
        <w:rPr>
          <w:lang w:bidi="fa-IR"/>
        </w:rPr>
        <w:t>reductions</w:t>
      </w:r>
      <w:r w:rsidR="00EB7326">
        <w:rPr>
          <w:lang w:bidi="fa-IR"/>
        </w:rPr>
        <w:t xml:space="preserve"> </w:t>
      </w:r>
      <w:r w:rsidR="00712A1F">
        <w:rPr>
          <w:lang w:bidi="fa-IR"/>
        </w:rPr>
        <w:t xml:space="preserve">compared to the other scenarios </w:t>
      </w:r>
      <w:r w:rsidR="00EB7326">
        <w:rPr>
          <w:lang w:bidi="fa-IR"/>
        </w:rPr>
        <w:t>(</w:t>
      </w:r>
      <w:r w:rsidR="00712A1F">
        <w:rPr>
          <w:lang w:bidi="fa-IR"/>
        </w:rPr>
        <w:t xml:space="preserve">in 2030, </w:t>
      </w:r>
      <w:r w:rsidR="00EB7326">
        <w:rPr>
          <w:lang w:bidi="fa-IR"/>
        </w:rPr>
        <w:t>e</w:t>
      </w:r>
      <w:r w:rsidR="00DF5B2E">
        <w:rPr>
          <w:lang w:bidi="fa-IR"/>
        </w:rPr>
        <w:t xml:space="preserve">missions </w:t>
      </w:r>
      <w:r w:rsidR="004A5694">
        <w:rPr>
          <w:lang w:bidi="fa-IR"/>
        </w:rPr>
        <w:t>are</w:t>
      </w:r>
      <w:r w:rsidR="00180F64">
        <w:rPr>
          <w:lang w:bidi="fa-IR"/>
        </w:rPr>
        <w:t xml:space="preserve"> only </w:t>
      </w:r>
      <w:r w:rsidR="008B749D">
        <w:rPr>
          <w:lang w:bidi="fa-IR"/>
        </w:rPr>
        <w:t>28</w:t>
      </w:r>
      <w:r w:rsidR="00180F64">
        <w:rPr>
          <w:lang w:bidi="fa-IR"/>
        </w:rPr>
        <w:t xml:space="preserve"> per cent below 2005 levels</w:t>
      </w:r>
      <w:r w:rsidR="00EB7326">
        <w:rPr>
          <w:lang w:bidi="fa-IR"/>
        </w:rPr>
        <w:t>)</w:t>
      </w:r>
      <w:r w:rsidR="00180F64">
        <w:rPr>
          <w:lang w:bidi="fa-IR"/>
        </w:rPr>
        <w:t xml:space="preserve">. </w:t>
      </w:r>
      <w:r w:rsidR="00EB7326">
        <w:rPr>
          <w:lang w:bidi="fa-IR"/>
        </w:rPr>
        <w:t xml:space="preserve">However, to </w:t>
      </w:r>
      <w:r w:rsidR="00180F64">
        <w:rPr>
          <w:lang w:bidi="fa-IR"/>
        </w:rPr>
        <w:t xml:space="preserve">meet the </w:t>
      </w:r>
      <w:r w:rsidR="00A635A9">
        <w:rPr>
          <w:lang w:bidi="fa-IR"/>
        </w:rPr>
        <w:t>emissions</w:t>
      </w:r>
      <w:r w:rsidR="00180F64">
        <w:rPr>
          <w:lang w:bidi="fa-IR"/>
        </w:rPr>
        <w:t xml:space="preserve"> budget, it requires a relatively sharp reduction in emissions </w:t>
      </w:r>
      <w:r w:rsidR="00EB7326">
        <w:rPr>
          <w:lang w:bidi="fa-IR"/>
        </w:rPr>
        <w:t>after</w:t>
      </w:r>
      <w:r w:rsidR="00180F64">
        <w:rPr>
          <w:lang w:bidi="fa-IR"/>
        </w:rPr>
        <w:t xml:space="preserve"> 2030. </w:t>
      </w:r>
    </w:p>
    <w:p w14:paraId="0B4D7080" w14:textId="595EB9B3" w:rsidR="00606083" w:rsidRPr="00606083" w:rsidRDefault="00EB7326" w:rsidP="00180F64">
      <w:pPr>
        <w:pStyle w:val="ListBullet"/>
        <w:rPr>
          <w:lang w:bidi="fa-IR"/>
        </w:rPr>
      </w:pPr>
      <w:r>
        <w:rPr>
          <w:lang w:bidi="fa-IR"/>
        </w:rPr>
        <w:t xml:space="preserve">The scenario </w:t>
      </w:r>
      <w:r w:rsidR="008B749D">
        <w:rPr>
          <w:i/>
          <w:lang w:bidi="fa-IR"/>
        </w:rPr>
        <w:t xml:space="preserve">VIC Emissions (45% 2030) </w:t>
      </w:r>
      <w:r w:rsidR="00606083">
        <w:rPr>
          <w:lang w:bidi="fa-IR"/>
        </w:rPr>
        <w:t>sees emissions fall to a level in 2030 that is 45 per cent below 2005 levels. The scenario essentially sees even emission reductions over time.</w:t>
      </w:r>
    </w:p>
    <w:p w14:paraId="452D0E65" w14:textId="77777777" w:rsidR="00821DAF" w:rsidRDefault="00606083" w:rsidP="00180F64">
      <w:pPr>
        <w:pStyle w:val="ListBullet"/>
        <w:rPr>
          <w:lang w:bidi="fa-IR"/>
        </w:rPr>
      </w:pPr>
      <w:r>
        <w:rPr>
          <w:lang w:bidi="fa-IR"/>
        </w:rPr>
        <w:t xml:space="preserve">The scenario </w:t>
      </w:r>
      <w:r w:rsidR="00EB7326">
        <w:rPr>
          <w:i/>
          <w:lang w:bidi="fa-IR"/>
        </w:rPr>
        <w:t>VIC Emissions (55% 2030</w:t>
      </w:r>
      <w:r w:rsidR="00712A1F">
        <w:rPr>
          <w:i/>
          <w:lang w:bidi="fa-IR"/>
        </w:rPr>
        <w:t xml:space="preserve">) </w:t>
      </w:r>
      <w:r w:rsidR="00712A1F">
        <w:rPr>
          <w:lang w:bidi="fa-IR"/>
        </w:rPr>
        <w:t xml:space="preserve">initially sees a sharp fall in emissions, to a level in </w:t>
      </w:r>
      <w:r w:rsidR="00EB7326">
        <w:rPr>
          <w:lang w:bidi="fa-IR"/>
        </w:rPr>
        <w:t xml:space="preserve">2030 </w:t>
      </w:r>
      <w:r w:rsidR="00712A1F">
        <w:rPr>
          <w:lang w:bidi="fa-IR"/>
        </w:rPr>
        <w:t xml:space="preserve">that is </w:t>
      </w:r>
      <w:r w:rsidR="00EB7326">
        <w:rPr>
          <w:lang w:bidi="fa-IR"/>
        </w:rPr>
        <w:t>55 per cent below 2005 levels</w:t>
      </w:r>
      <w:r w:rsidR="00712A1F">
        <w:rPr>
          <w:lang w:bidi="fa-IR"/>
        </w:rPr>
        <w:t>. This leaves enough room in the emissions budget for emission reduction efforts to</w:t>
      </w:r>
      <w:r w:rsidR="004A5694">
        <w:rPr>
          <w:lang w:bidi="fa-IR"/>
        </w:rPr>
        <w:t xml:space="preserve"> </w:t>
      </w:r>
      <w:r w:rsidR="00821DAF">
        <w:rPr>
          <w:lang w:bidi="fa-IR"/>
        </w:rPr>
        <w:t xml:space="preserve">continue, but at a </w:t>
      </w:r>
      <w:r w:rsidR="00712A1F">
        <w:rPr>
          <w:lang w:bidi="fa-IR"/>
        </w:rPr>
        <w:t>slowe</w:t>
      </w:r>
      <w:r w:rsidR="00821DAF">
        <w:rPr>
          <w:lang w:bidi="fa-IR"/>
        </w:rPr>
        <w:t>r rate than before 2030.</w:t>
      </w:r>
    </w:p>
    <w:p w14:paraId="52240E9A" w14:textId="40CD374E" w:rsidR="00712A1F" w:rsidRDefault="00712A1F" w:rsidP="00180F64">
      <w:pPr>
        <w:pStyle w:val="ListBullet"/>
        <w:rPr>
          <w:lang w:bidi="fa-IR"/>
        </w:rPr>
      </w:pPr>
      <w:r>
        <w:rPr>
          <w:lang w:bidi="fa-IR"/>
        </w:rPr>
        <w:t xml:space="preserve">The scenario </w:t>
      </w:r>
      <w:r>
        <w:rPr>
          <w:i/>
          <w:lang w:bidi="fa-IR"/>
        </w:rPr>
        <w:t xml:space="preserve">VIC Emissions (65% 2030) </w:t>
      </w:r>
      <w:r>
        <w:rPr>
          <w:lang w:bidi="fa-IR"/>
        </w:rPr>
        <w:t xml:space="preserve">initially sees a sharp fall in emissions, to a level in 2030 that is 65 per cent below 2005 levels. This leaves enough room in the emissions budget for emission reduction efforts to </w:t>
      </w:r>
      <w:r w:rsidR="004A5694">
        <w:rPr>
          <w:lang w:bidi="fa-IR"/>
        </w:rPr>
        <w:t xml:space="preserve">then </w:t>
      </w:r>
      <w:r>
        <w:rPr>
          <w:lang w:bidi="fa-IR"/>
        </w:rPr>
        <w:t>be slowed</w:t>
      </w:r>
      <w:r w:rsidR="00821DAF">
        <w:rPr>
          <w:lang w:bidi="fa-IR"/>
        </w:rPr>
        <w:t xml:space="preserve"> significantly (until the last few years of the period)</w:t>
      </w:r>
      <w:r w:rsidR="00876E69">
        <w:rPr>
          <w:lang w:bidi="fa-IR"/>
        </w:rPr>
        <w:t>.</w:t>
      </w:r>
    </w:p>
    <w:p w14:paraId="4087CA78" w14:textId="07058D01" w:rsidR="00876E69" w:rsidRDefault="00876E69" w:rsidP="00876E69">
      <w:pPr>
        <w:pStyle w:val="BodyText"/>
        <w:rPr>
          <w:lang w:bidi="fa-IR"/>
        </w:rPr>
      </w:pPr>
      <w:r>
        <w:rPr>
          <w:lang w:bidi="fa-IR"/>
        </w:rPr>
        <w:t>For the analysis presented below, we take these scenarios as given. It is important to note, however, that academic reviewer</w:t>
      </w:r>
      <w:r w:rsidR="00EB7212">
        <w:rPr>
          <w:lang w:bidi="fa-IR"/>
        </w:rPr>
        <w:t>s for this project</w:t>
      </w:r>
      <w:r>
        <w:rPr>
          <w:lang w:bidi="fa-IR"/>
        </w:rPr>
        <w:t xml:space="preserve"> consider</w:t>
      </w:r>
      <w:r w:rsidR="00EB7212">
        <w:rPr>
          <w:lang w:bidi="fa-IR"/>
        </w:rPr>
        <w:t>ed</w:t>
      </w:r>
      <w:r>
        <w:rPr>
          <w:lang w:bidi="fa-IR"/>
        </w:rPr>
        <w:t xml:space="preserve"> that the 65 per cent scenario </w:t>
      </w:r>
      <w:r w:rsidR="00EB7212">
        <w:rPr>
          <w:lang w:bidi="fa-IR"/>
        </w:rPr>
        <w:t>has</w:t>
      </w:r>
      <w:r>
        <w:rPr>
          <w:lang w:bidi="fa-IR"/>
        </w:rPr>
        <w:t xml:space="preserve"> some credibility issues associated with </w:t>
      </w:r>
      <w:r w:rsidR="00EB7212">
        <w:rPr>
          <w:lang w:bidi="fa-IR"/>
        </w:rPr>
        <w:t>it</w:t>
      </w:r>
      <w:r>
        <w:rPr>
          <w:lang w:bidi="fa-IR"/>
        </w:rPr>
        <w:t xml:space="preserve"> in that </w:t>
      </w:r>
      <w:r w:rsidR="00EB7212">
        <w:rPr>
          <w:lang w:bidi="fa-IR"/>
        </w:rPr>
        <w:t>it</w:t>
      </w:r>
      <w:r>
        <w:rPr>
          <w:lang w:bidi="fa-IR"/>
        </w:rPr>
        <w:t xml:space="preserve"> each involve</w:t>
      </w:r>
      <w:r w:rsidR="00EB7212">
        <w:rPr>
          <w:lang w:bidi="fa-IR"/>
        </w:rPr>
        <w:t>s</w:t>
      </w:r>
      <w:r>
        <w:rPr>
          <w:lang w:bidi="fa-IR"/>
        </w:rPr>
        <w:t xml:space="preserve"> a substantive slowing of abatement in the middle years of the period. </w:t>
      </w:r>
      <w:r w:rsidR="00EB7212">
        <w:rPr>
          <w:lang w:bidi="fa-IR"/>
        </w:rPr>
        <w:t>The CIE also considers that similar concerns may apply to the 55 per cent scenario, particularly when it is compared with BAU emissions (see below).</w:t>
      </w:r>
    </w:p>
    <w:p w14:paraId="27E1E606" w14:textId="550E3AB9" w:rsidR="00291652" w:rsidRPr="00695C93" w:rsidRDefault="00291652" w:rsidP="00291652">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1</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1</w:instrText>
      </w:r>
      <w:r w:rsidR="00187D65">
        <w:rPr>
          <w:noProof/>
        </w:rPr>
        <w:fldChar w:fldCharType="end"/>
      </w:r>
      <w:r w:rsidRPr="00695C93">
        <w:instrText xml:space="preserve">." </w:instrText>
      </w:r>
      <w:r w:rsidRPr="00695C93">
        <w:fldChar w:fldCharType="separate"/>
      </w:r>
      <w:r w:rsidR="00ED1D13">
        <w:rPr>
          <w:noProof/>
        </w:rPr>
        <w:instrText>1</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1</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1</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17" w:name="_Caption1354"/>
      <w:bookmarkStart w:id="18" w:name="_Caption3754"/>
      <w:bookmarkStart w:id="19" w:name="_Caption1011"/>
      <w:bookmarkStart w:id="20" w:name="_Caption4656"/>
      <w:bookmarkStart w:id="21" w:name="_Caption7655"/>
      <w:bookmarkStart w:id="22" w:name="_Caption1602"/>
      <w:bookmarkStart w:id="23" w:name="_Caption3637"/>
      <w:bookmarkStart w:id="24" w:name="_Caption7120"/>
      <w:bookmarkStart w:id="25" w:name="_Caption1402"/>
      <w:bookmarkStart w:id="26" w:name="_Caption3230"/>
      <w:bookmarkStart w:id="27" w:name="_Caption7869"/>
      <w:bookmarkStart w:id="28" w:name="_Caption3640"/>
      <w:bookmarkStart w:id="29" w:name="_Caption1794"/>
      <w:bookmarkStart w:id="30" w:name="_Caption5876"/>
      <w:bookmarkStart w:id="31" w:name="_Caption7412"/>
      <w:bookmarkStart w:id="32" w:name="_Caption0362"/>
      <w:bookmarkStart w:id="33" w:name="_Caption9711"/>
      <w:bookmarkStart w:id="34" w:name="_Caption9787"/>
      <w:bookmarkStart w:id="35" w:name="_Caption7053"/>
      <w:bookmarkStart w:id="36" w:name="_Caption2703"/>
      <w:bookmarkStart w:id="37" w:name="_Caption3007"/>
      <w:bookmarkStart w:id="38" w:name="_Caption6293"/>
      <w:bookmarkStart w:id="39" w:name="_Caption2560"/>
      <w:bookmarkStart w:id="40" w:name="_Caption0225"/>
      <w:bookmarkStart w:id="41" w:name="_Caption2421"/>
      <w:bookmarkStart w:id="42" w:name="_Caption5487"/>
      <w:bookmarkStart w:id="43" w:name="_Caption3512"/>
      <w:bookmarkStart w:id="44" w:name="_Caption4176"/>
      <w:bookmarkStart w:id="45" w:name="_Caption4115"/>
      <w:bookmarkStart w:id="46" w:name="_Caption4564"/>
      <w:bookmarkStart w:id="47" w:name="_Caption4141"/>
      <w:bookmarkStart w:id="48" w:name="_Caption6823"/>
      <w:bookmarkStart w:id="49" w:name="_Caption9408"/>
      <w:bookmarkStart w:id="50" w:name="_Caption1962"/>
      <w:bookmarkStart w:id="51" w:name="_Caption7613"/>
      <w:bookmarkStart w:id="52" w:name="_Caption2484"/>
      <w:bookmarkStart w:id="53" w:name="_Toc9778468"/>
      <w:r w:rsidR="008A2B2B">
        <w:rPr>
          <w:noProof/>
        </w:rPr>
        <w:t>1</w:t>
      </w:r>
      <w:r w:rsidR="008A2B2B" w:rsidRPr="00695C93">
        <w:rPr>
          <w:noProof/>
        </w:rPr>
        <w:t>.</w:t>
      </w:r>
      <w:r w:rsidR="008A2B2B">
        <w:rPr>
          <w:noProof/>
        </w:rPr>
        <w:t>1</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95C93">
        <w:fldChar w:fldCharType="end"/>
      </w:r>
      <w:r w:rsidRPr="00695C93">
        <w:tab/>
      </w:r>
      <w:r w:rsidR="00C67246">
        <w:t>Victorian emissions:</w:t>
      </w:r>
      <w:r w:rsidR="008B749D">
        <w:t xml:space="preserve"> the panel’s reduction paths</w:t>
      </w:r>
      <w:r w:rsidR="00C67246">
        <w:t xml:space="preserve"> (Mt CO</w:t>
      </w:r>
      <w:r w:rsidR="00C67246">
        <w:rPr>
          <w:vertAlign w:val="subscript"/>
        </w:rPr>
        <w:t>2</w:t>
      </w:r>
      <w:r w:rsidR="00C67246">
        <w:t>e)</w:t>
      </w:r>
      <w:bookmarkEnd w:id="53"/>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291652" w14:paraId="261A7CA5" w14:textId="77777777" w:rsidTr="00004633">
        <w:trPr>
          <w:cantSplit/>
        </w:trPr>
        <w:tc>
          <w:tcPr>
            <w:tcW w:w="7938" w:type="dxa"/>
            <w:shd w:val="clear" w:color="auto" w:fill="E9E8E5" w:themeFill="background2"/>
          </w:tcPr>
          <w:p w14:paraId="20422F3A" w14:textId="164EDEC1" w:rsidR="00291652" w:rsidRDefault="00AD4277" w:rsidP="00AD4277">
            <w:pPr>
              <w:pStyle w:val="Chart"/>
              <w:jc w:val="center"/>
            </w:pPr>
            <w:r w:rsidRPr="00AD4277">
              <w:rPr>
                <w:noProof/>
              </w:rPr>
              <w:drawing>
                <wp:inline distT="0" distB="0" distL="0" distR="0" wp14:anchorId="77DF45D8" wp14:editId="58281F8A">
                  <wp:extent cx="4874260" cy="25126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2512695"/>
                          </a:xfrm>
                          <a:prstGeom prst="rect">
                            <a:avLst/>
                          </a:prstGeom>
                          <a:noFill/>
                          <a:ln>
                            <a:noFill/>
                          </a:ln>
                        </pic:spPr>
                      </pic:pic>
                    </a:graphicData>
                  </a:graphic>
                </wp:inline>
              </w:drawing>
            </w:r>
          </w:p>
        </w:tc>
      </w:tr>
    </w:tbl>
    <w:p w14:paraId="612C7EBC" w14:textId="628F794A" w:rsidR="00291652" w:rsidRDefault="00291652" w:rsidP="00291652">
      <w:pPr>
        <w:pStyle w:val="Source"/>
      </w:pPr>
      <w:r>
        <w:rPr>
          <w:i/>
        </w:rPr>
        <w:t>Data source</w:t>
      </w:r>
      <w:r w:rsidRPr="00A67576">
        <w:rPr>
          <w:i/>
        </w:rPr>
        <w:t>:</w:t>
      </w:r>
      <w:r w:rsidR="00290010">
        <w:t xml:space="preserve"> DELWP</w:t>
      </w:r>
    </w:p>
    <w:p w14:paraId="29560A9E" w14:textId="4AB7DFFA" w:rsidR="00291652" w:rsidRDefault="00C56634" w:rsidP="00C56634">
      <w:pPr>
        <w:pStyle w:val="Heading2"/>
        <w:rPr>
          <w:lang w:bidi="fa-IR"/>
        </w:rPr>
      </w:pPr>
      <w:bookmarkStart w:id="54" w:name="_Toc9778450"/>
      <w:r>
        <w:rPr>
          <w:lang w:bidi="fa-IR"/>
        </w:rPr>
        <w:lastRenderedPageBreak/>
        <w:t>Studies</w:t>
      </w:r>
      <w:r w:rsidR="008B749D">
        <w:rPr>
          <w:lang w:bidi="fa-IR"/>
        </w:rPr>
        <w:t xml:space="preserve"> </w:t>
      </w:r>
      <w:r w:rsidR="00876E69">
        <w:rPr>
          <w:lang w:bidi="fa-IR"/>
        </w:rPr>
        <w:t>used</w:t>
      </w:r>
      <w:bookmarkEnd w:id="54"/>
    </w:p>
    <w:p w14:paraId="3BDEE6EF" w14:textId="6E29DDA8" w:rsidR="00C56634" w:rsidRDefault="008B749D" w:rsidP="00C56634">
      <w:pPr>
        <w:pStyle w:val="BodyText"/>
        <w:rPr>
          <w:lang w:bidi="fa-IR"/>
        </w:rPr>
      </w:pPr>
      <w:r>
        <w:rPr>
          <w:lang w:bidi="fa-IR"/>
        </w:rPr>
        <w:t xml:space="preserve">The </w:t>
      </w:r>
      <w:r w:rsidR="004A5694">
        <w:rPr>
          <w:lang w:bidi="fa-IR"/>
        </w:rPr>
        <w:t xml:space="preserve">studies </w:t>
      </w:r>
      <w:r>
        <w:rPr>
          <w:lang w:bidi="fa-IR"/>
        </w:rPr>
        <w:t xml:space="preserve">we consider are drawn from </w:t>
      </w:r>
      <w:r w:rsidR="00033228">
        <w:rPr>
          <w:lang w:bidi="fa-IR"/>
        </w:rPr>
        <w:t>a</w:t>
      </w:r>
      <w:r>
        <w:rPr>
          <w:lang w:bidi="fa-IR"/>
        </w:rPr>
        <w:t xml:space="preserve"> list provided by the Department </w:t>
      </w:r>
      <w:r w:rsidR="00431F8D">
        <w:rPr>
          <w:lang w:bidi="fa-IR"/>
        </w:rPr>
        <w:t xml:space="preserve">with </w:t>
      </w:r>
      <w:proofErr w:type="gramStart"/>
      <w:r w:rsidR="00431F8D">
        <w:rPr>
          <w:lang w:bidi="fa-IR"/>
        </w:rPr>
        <w:t>a number of</w:t>
      </w:r>
      <w:proofErr w:type="gramEnd"/>
      <w:r w:rsidR="00431F8D">
        <w:rPr>
          <w:lang w:bidi="fa-IR"/>
        </w:rPr>
        <w:t xml:space="preserve"> additions</w:t>
      </w:r>
      <w:r>
        <w:rPr>
          <w:lang w:bidi="fa-IR"/>
        </w:rPr>
        <w:t>.</w:t>
      </w:r>
      <w:r w:rsidR="00C67246">
        <w:rPr>
          <w:lang w:bidi="fa-IR"/>
        </w:rPr>
        <w:t xml:space="preserve"> These are listed in References.</w:t>
      </w:r>
      <w:r w:rsidR="00937E69">
        <w:rPr>
          <w:lang w:bidi="fa-IR"/>
        </w:rPr>
        <w:t xml:space="preserve"> Some of these studies are publicly available.</w:t>
      </w:r>
    </w:p>
    <w:p w14:paraId="7865937E" w14:textId="08D1F5AB" w:rsidR="00431F8D" w:rsidRPr="008B749D" w:rsidRDefault="00431F8D" w:rsidP="008B749D">
      <w:pPr>
        <w:pStyle w:val="BodyText"/>
      </w:pPr>
      <w:r>
        <w:t>One set of studies use</w:t>
      </w:r>
      <w:r w:rsidR="008B749D" w:rsidRPr="008B749D">
        <w:t xml:space="preserve"> ‘Dynamic Computable General Equilibrium’ (Dynamic CGE) models to estimate the impact on macroeconomic variables (state GVA, consumption, real wages, etc.) of reductions in em</w:t>
      </w:r>
      <w:r>
        <w:t>issions over time</w:t>
      </w:r>
      <w:r w:rsidR="008B749D" w:rsidRPr="008B749D">
        <w:t>.</w:t>
      </w:r>
      <w:r w:rsidR="008B749D">
        <w:t xml:space="preserve"> </w:t>
      </w:r>
      <w:r w:rsidR="00C67246">
        <w:t>T</w:t>
      </w:r>
      <w:r w:rsidR="008B749D">
        <w:t xml:space="preserve">hese studies do </w:t>
      </w:r>
      <w:r>
        <w:t xml:space="preserve">not explicitly </w:t>
      </w:r>
      <w:r w:rsidR="008B749D">
        <w:t xml:space="preserve">consider the timing of emissions reduction. </w:t>
      </w:r>
      <w:r w:rsidR="00A610B1">
        <w:t xml:space="preserve">However, </w:t>
      </w:r>
      <w:r w:rsidR="00937E69">
        <w:t xml:space="preserve">we </w:t>
      </w:r>
      <w:r w:rsidR="008B749D">
        <w:t xml:space="preserve">have derived cost curves for emissions reduction </w:t>
      </w:r>
      <w:r w:rsidR="00937E69">
        <w:t xml:space="preserve">(the loss of GSI relative to baseline, given emissions reductions relative to baseline) </w:t>
      </w:r>
      <w:r w:rsidR="00A610B1">
        <w:t>fro</w:t>
      </w:r>
      <w:r w:rsidR="00937E69">
        <w:t>m selected studies a</w:t>
      </w:r>
      <w:r w:rsidR="004A5694">
        <w:t>nd applied these to the emission paths provided by DELWP</w:t>
      </w:r>
      <w:r w:rsidR="008B749D">
        <w:t>.</w:t>
      </w:r>
      <w:r w:rsidR="00C67246">
        <w:t xml:space="preserve"> </w:t>
      </w:r>
      <w:r w:rsidR="00A610B1">
        <w:t>Details on how</w:t>
      </w:r>
      <w:r w:rsidR="004A5694">
        <w:t xml:space="preserve"> this is done are described in C</w:t>
      </w:r>
      <w:r w:rsidR="00A610B1">
        <w:t xml:space="preserve">hapter 3 and Appendix A. </w:t>
      </w:r>
      <w:r>
        <w:t xml:space="preserve">The CGE studies </w:t>
      </w:r>
      <w:r w:rsidR="00A610B1">
        <w:t>we use the most are</w:t>
      </w:r>
      <w:r>
        <w:t>:</w:t>
      </w:r>
    </w:p>
    <w:p w14:paraId="64995143" w14:textId="1E6BFD31" w:rsidR="008B749D" w:rsidRPr="008B749D" w:rsidRDefault="0004496B" w:rsidP="008B749D">
      <w:pPr>
        <w:pStyle w:val="ListBullet"/>
        <w:rPr>
          <w:lang w:bidi="fa-IR"/>
        </w:rPr>
      </w:pPr>
      <w:r>
        <w:rPr>
          <w:lang w:bidi="fa-IR"/>
        </w:rPr>
        <w:t>DEWLP 2016</w:t>
      </w:r>
    </w:p>
    <w:p w14:paraId="68CF53B9" w14:textId="77777777" w:rsidR="008B749D" w:rsidRPr="008B749D" w:rsidRDefault="008B749D" w:rsidP="008B749D">
      <w:pPr>
        <w:pStyle w:val="ListBullet"/>
        <w:rPr>
          <w:lang w:bidi="fa-IR"/>
        </w:rPr>
      </w:pPr>
      <w:r w:rsidRPr="008B749D">
        <w:rPr>
          <w:lang w:bidi="fa-IR"/>
        </w:rPr>
        <w:t>CSIRO 2015</w:t>
      </w:r>
    </w:p>
    <w:p w14:paraId="74CBDEFC" w14:textId="6165FD79" w:rsidR="008B749D" w:rsidRPr="008B749D" w:rsidRDefault="008B749D" w:rsidP="008B749D">
      <w:pPr>
        <w:pStyle w:val="ListBullet"/>
        <w:rPr>
          <w:lang w:bidi="fa-IR"/>
        </w:rPr>
      </w:pPr>
      <w:r w:rsidRPr="008B749D">
        <w:rPr>
          <w:lang w:bidi="fa-IR"/>
        </w:rPr>
        <w:t xml:space="preserve">Treasury &amp; DIICSRTE </w:t>
      </w:r>
      <w:r w:rsidR="00C67246">
        <w:rPr>
          <w:lang w:bidi="fa-IR"/>
        </w:rPr>
        <w:t>2013</w:t>
      </w:r>
    </w:p>
    <w:p w14:paraId="5CCE8C77" w14:textId="5AA978F7" w:rsidR="008B749D" w:rsidRDefault="00431F8D" w:rsidP="008B749D">
      <w:pPr>
        <w:pStyle w:val="BodyText"/>
        <w:rPr>
          <w:lang w:bidi="fa-IR"/>
        </w:rPr>
      </w:pPr>
      <w:r>
        <w:rPr>
          <w:lang w:bidi="fa-IR"/>
        </w:rPr>
        <w:t>Some studies consider the</w:t>
      </w:r>
      <w:r w:rsidR="008B749D">
        <w:rPr>
          <w:lang w:bidi="fa-IR"/>
        </w:rPr>
        <w:t xml:space="preserve"> </w:t>
      </w:r>
      <w:r>
        <w:rPr>
          <w:lang w:bidi="fa-IR"/>
        </w:rPr>
        <w:t xml:space="preserve">relative </w:t>
      </w:r>
      <w:r w:rsidR="008B749D">
        <w:rPr>
          <w:lang w:bidi="fa-IR"/>
        </w:rPr>
        <w:t xml:space="preserve">cost of different </w:t>
      </w:r>
      <w:r>
        <w:rPr>
          <w:lang w:bidi="fa-IR"/>
        </w:rPr>
        <w:t>policies:</w:t>
      </w:r>
    </w:p>
    <w:p w14:paraId="1A1E801C" w14:textId="452B5B3F" w:rsidR="008B749D" w:rsidRDefault="008B749D" w:rsidP="008B749D">
      <w:pPr>
        <w:pStyle w:val="ListBullet"/>
        <w:rPr>
          <w:lang w:bidi="fa-IR"/>
        </w:rPr>
      </w:pPr>
      <w:r w:rsidRPr="008B749D">
        <w:rPr>
          <w:lang w:bidi="fa-IR"/>
        </w:rPr>
        <w:t xml:space="preserve">CCA </w:t>
      </w:r>
      <w:r w:rsidR="00D71756">
        <w:rPr>
          <w:lang w:bidi="fa-IR"/>
        </w:rPr>
        <w:t>2016</w:t>
      </w:r>
      <w:r w:rsidRPr="008B749D">
        <w:rPr>
          <w:lang w:bidi="fa-IR"/>
        </w:rPr>
        <w:t xml:space="preserve"> (including Jacobs and COPS), BAE 2012</w:t>
      </w:r>
    </w:p>
    <w:p w14:paraId="505CD207" w14:textId="5F8B3B0A" w:rsidR="008B749D" w:rsidRDefault="008B749D" w:rsidP="008B749D">
      <w:pPr>
        <w:pStyle w:val="BodyText"/>
        <w:rPr>
          <w:lang w:bidi="fa-IR"/>
        </w:rPr>
      </w:pPr>
      <w:r>
        <w:rPr>
          <w:lang w:bidi="fa-IR"/>
        </w:rPr>
        <w:t xml:space="preserve">There are few studies that explicitly consider the impact of timing. The ones we considered </w:t>
      </w:r>
      <w:r w:rsidR="00A610B1">
        <w:rPr>
          <w:lang w:bidi="fa-IR"/>
        </w:rPr>
        <w:t>are</w:t>
      </w:r>
      <w:r>
        <w:rPr>
          <w:lang w:bidi="fa-IR"/>
        </w:rPr>
        <w:t>:</w:t>
      </w:r>
    </w:p>
    <w:p w14:paraId="60B4D6EF" w14:textId="6376FD8C" w:rsidR="008B749D" w:rsidRPr="008B749D" w:rsidRDefault="008B749D" w:rsidP="008B749D">
      <w:pPr>
        <w:pStyle w:val="ListBullet"/>
        <w:rPr>
          <w:lang w:bidi="fa-IR"/>
        </w:rPr>
      </w:pPr>
      <w:proofErr w:type="spellStart"/>
      <w:r w:rsidRPr="008B749D">
        <w:rPr>
          <w:lang w:bidi="fa-IR"/>
        </w:rPr>
        <w:t>Goulder</w:t>
      </w:r>
      <w:proofErr w:type="spellEnd"/>
      <w:r w:rsidRPr="008B749D">
        <w:rPr>
          <w:lang w:bidi="fa-IR"/>
        </w:rPr>
        <w:t xml:space="preserve"> &amp; </w:t>
      </w:r>
      <w:r w:rsidR="00C67246">
        <w:rPr>
          <w:lang w:bidi="fa-IR"/>
        </w:rPr>
        <w:t>Mathai 1999, Pearce &amp; McKibbin 2007</w:t>
      </w:r>
    </w:p>
    <w:p w14:paraId="5426195C" w14:textId="3E8407C2" w:rsidR="009B0BAB" w:rsidRDefault="00AB04AE" w:rsidP="00A610B1">
      <w:pPr>
        <w:pStyle w:val="BodyText"/>
        <w:rPr>
          <w:lang w:bidi="fa-IR"/>
        </w:rPr>
      </w:pPr>
      <w:r>
        <w:rPr>
          <w:lang w:bidi="fa-IR"/>
        </w:rPr>
        <w:t xml:space="preserve">The Stern </w:t>
      </w:r>
      <w:r w:rsidR="008C7528">
        <w:rPr>
          <w:lang w:bidi="fa-IR"/>
        </w:rPr>
        <w:t xml:space="preserve">review of </w:t>
      </w:r>
      <w:r>
        <w:rPr>
          <w:lang w:bidi="fa-IR"/>
        </w:rPr>
        <w:t xml:space="preserve">2006 </w:t>
      </w:r>
      <w:r w:rsidR="00821DAF">
        <w:rPr>
          <w:lang w:bidi="fa-IR"/>
        </w:rPr>
        <w:t xml:space="preserve">and </w:t>
      </w:r>
      <w:proofErr w:type="spellStart"/>
      <w:r w:rsidR="00821DAF">
        <w:rPr>
          <w:lang w:bidi="fa-IR"/>
        </w:rPr>
        <w:t>Garnaut</w:t>
      </w:r>
      <w:proofErr w:type="spellEnd"/>
      <w:r w:rsidR="00821DAF">
        <w:rPr>
          <w:lang w:bidi="fa-IR"/>
        </w:rPr>
        <w:t xml:space="preserve"> Review (2008 and updated in 2011) </w:t>
      </w:r>
      <w:r w:rsidR="000C2472">
        <w:rPr>
          <w:lang w:bidi="fa-IR"/>
        </w:rPr>
        <w:t xml:space="preserve">did not </w:t>
      </w:r>
      <w:r w:rsidR="008C7528">
        <w:rPr>
          <w:lang w:bidi="fa-IR"/>
        </w:rPr>
        <w:t xml:space="preserve">explicitly </w:t>
      </w:r>
      <w:r w:rsidR="000C2472">
        <w:rPr>
          <w:lang w:bidi="fa-IR"/>
        </w:rPr>
        <w:t>consider the issues considere</w:t>
      </w:r>
      <w:r w:rsidR="009B0BAB">
        <w:rPr>
          <w:lang w:bidi="fa-IR"/>
        </w:rPr>
        <w:t xml:space="preserve">d in this report: the relative costs of different scenarios for </w:t>
      </w:r>
      <w:r w:rsidR="008F4670">
        <w:rPr>
          <w:lang w:bidi="fa-IR"/>
        </w:rPr>
        <w:t xml:space="preserve">a specific emissions end-point and budget over a </w:t>
      </w:r>
      <w:r w:rsidR="00B867F9">
        <w:rPr>
          <w:lang w:bidi="fa-IR"/>
        </w:rPr>
        <w:t xml:space="preserve">fixed </w:t>
      </w:r>
      <w:proofErr w:type="gramStart"/>
      <w:r w:rsidR="008F4670">
        <w:rPr>
          <w:lang w:bidi="fa-IR"/>
        </w:rPr>
        <w:t>period of time</w:t>
      </w:r>
      <w:proofErr w:type="gramEnd"/>
      <w:r w:rsidR="009B0BAB">
        <w:rPr>
          <w:lang w:bidi="fa-IR"/>
        </w:rPr>
        <w:t>.</w:t>
      </w:r>
    </w:p>
    <w:p w14:paraId="1F0DC648" w14:textId="135F5DE2" w:rsidR="00A20ED8" w:rsidRPr="00A20ED8" w:rsidRDefault="00A20ED8" w:rsidP="00A20ED8">
      <w:pPr>
        <w:pStyle w:val="BodyText"/>
        <w:rPr>
          <w:lang w:bidi="fa-IR"/>
        </w:rPr>
      </w:pPr>
    </w:p>
    <w:p w14:paraId="1977C6CF" w14:textId="675B4275" w:rsidR="00291652" w:rsidRDefault="00876E69" w:rsidP="00C97F0D">
      <w:pPr>
        <w:pStyle w:val="Heading1"/>
        <w:rPr>
          <w:lang w:bidi="fa-IR"/>
        </w:rPr>
      </w:pPr>
      <w:bookmarkStart w:id="55" w:name="_Toc9778451"/>
      <w:r>
        <w:rPr>
          <w:lang w:bidi="fa-IR"/>
        </w:rPr>
        <w:lastRenderedPageBreak/>
        <w:t>What determines the optimal path of abatement</w:t>
      </w:r>
      <w:bookmarkEnd w:id="55"/>
    </w:p>
    <w:p w14:paraId="658D5A83" w14:textId="24AC35D4" w:rsidR="004C0B7D" w:rsidRDefault="004C0B7D" w:rsidP="00600CD0">
      <w:pPr>
        <w:pStyle w:val="BodyText"/>
        <w:rPr>
          <w:lang w:bidi="fa-IR"/>
        </w:rPr>
      </w:pPr>
      <w:r>
        <w:rPr>
          <w:lang w:bidi="fa-IR"/>
        </w:rPr>
        <w:t>The theoretical literature (</w:t>
      </w:r>
      <w:r w:rsidR="00600CD0">
        <w:rPr>
          <w:lang w:bidi="fa-IR"/>
        </w:rPr>
        <w:t xml:space="preserve">see for example </w:t>
      </w:r>
      <w:proofErr w:type="spellStart"/>
      <w:r>
        <w:rPr>
          <w:lang w:bidi="fa-IR"/>
        </w:rPr>
        <w:t>Goulder</w:t>
      </w:r>
      <w:proofErr w:type="spellEnd"/>
      <w:r>
        <w:rPr>
          <w:lang w:bidi="fa-IR"/>
        </w:rPr>
        <w:t xml:space="preserve"> &amp; Mathai 1999, Pearce &amp; McKibbin 2007, etc.) </w:t>
      </w:r>
      <w:r w:rsidR="00600CD0">
        <w:rPr>
          <w:lang w:bidi="fa-IR"/>
        </w:rPr>
        <w:t>provides three suggestions about optimal abatement pathways.</w:t>
      </w:r>
    </w:p>
    <w:p w14:paraId="73DD23F2" w14:textId="0D0BF2D4" w:rsidR="00600CD0" w:rsidRDefault="00600CD0" w:rsidP="00600CD0">
      <w:pPr>
        <w:pStyle w:val="ListBullet"/>
        <w:rPr>
          <w:lang w:bidi="fa-IR"/>
        </w:rPr>
      </w:pPr>
      <w:r>
        <w:rPr>
          <w:lang w:bidi="fa-IR"/>
        </w:rPr>
        <w:t>First, the marginal cost of abatement needs to be the same at all points in time, so that abatement is optimally spread. This in turn requires that the implicit cost of abatement — what would be the carbon price in an explicit pricing policy — rises at the discount rate.</w:t>
      </w:r>
      <w:r w:rsidR="00876E69">
        <w:rPr>
          <w:lang w:bidi="fa-IR"/>
        </w:rPr>
        <w:t xml:space="preserve"> With a higher discount rate, more abatement is delayed to the future. With a lower discount rate, abatement is brought forward.</w:t>
      </w:r>
    </w:p>
    <w:p w14:paraId="05B8E6BD" w14:textId="75A0C7B7" w:rsidR="00600CD0" w:rsidRDefault="00600CD0" w:rsidP="00600CD0">
      <w:pPr>
        <w:pStyle w:val="ListBullet"/>
        <w:rPr>
          <w:lang w:bidi="fa-IR"/>
        </w:rPr>
      </w:pPr>
      <w:r>
        <w:rPr>
          <w:lang w:bidi="fa-IR"/>
        </w:rPr>
        <w:t xml:space="preserve">Second, consistent with this first point, the amount of optimal abatement at each point in time depends upon the evolution of the cost of abatement which is itself partly a product of technology. </w:t>
      </w:r>
      <w:r w:rsidR="00917F11">
        <w:rPr>
          <w:lang w:bidi="fa-IR"/>
        </w:rPr>
        <w:t>Technological outcomes will be a combination of two distinct types of technological change</w:t>
      </w:r>
      <w:r>
        <w:rPr>
          <w:lang w:bidi="fa-IR"/>
        </w:rPr>
        <w:t>:</w:t>
      </w:r>
      <w:r w:rsidR="00001E54" w:rsidRPr="00001E54">
        <w:rPr>
          <w:rStyle w:val="FootnoteReference"/>
          <w:lang w:bidi="fa-IR"/>
        </w:rPr>
        <w:t xml:space="preserve"> </w:t>
      </w:r>
    </w:p>
    <w:p w14:paraId="2178A2D3" w14:textId="117BDC86" w:rsidR="00600CD0" w:rsidRDefault="00600CD0" w:rsidP="00600CD0">
      <w:pPr>
        <w:pStyle w:val="ListBullet2"/>
        <w:rPr>
          <w:lang w:bidi="fa-IR"/>
        </w:rPr>
      </w:pPr>
      <w:r>
        <w:rPr>
          <w:lang w:bidi="fa-IR"/>
        </w:rPr>
        <w:t>If the cost of abatement (technology) is exogenous, and falling, this tends to suggest delaying abatement over time, all other things equal.</w:t>
      </w:r>
    </w:p>
    <w:p w14:paraId="2C0B3B0A" w14:textId="0AAB7229" w:rsidR="00600CD0" w:rsidRDefault="00600CD0" w:rsidP="00600CD0">
      <w:pPr>
        <w:pStyle w:val="ListBullet2"/>
        <w:rPr>
          <w:lang w:bidi="fa-IR"/>
        </w:rPr>
      </w:pPr>
      <w:r>
        <w:rPr>
          <w:lang w:bidi="fa-IR"/>
        </w:rPr>
        <w:t>If the cost of abatement (technology) depends on ‘learning by doing’ so that the cost of abatement in the future depends on the amount of abatement in the past, then while the optimal path is difficult to predict, this does tend to suggest more abatement early on.</w:t>
      </w:r>
    </w:p>
    <w:p w14:paraId="45E4C5ED" w14:textId="77777777" w:rsidR="00600CD0" w:rsidRDefault="00600CD0" w:rsidP="00600CD0">
      <w:pPr>
        <w:pStyle w:val="ListBullet"/>
        <w:rPr>
          <w:lang w:bidi="fa-IR"/>
        </w:rPr>
      </w:pPr>
      <w:r>
        <w:rPr>
          <w:lang w:bidi="fa-IR"/>
        </w:rPr>
        <w:t>Third, the cost of abatement in the future may be a function of specific policy choices today, such that the optimal abatement path depends specifically on policy choices.</w:t>
      </w:r>
    </w:p>
    <w:p w14:paraId="2492A153" w14:textId="0055219B" w:rsidR="001C3CAF" w:rsidRDefault="00F267B2" w:rsidP="00600CD0">
      <w:pPr>
        <w:pStyle w:val="BodyText"/>
        <w:rPr>
          <w:lang w:bidi="fa-IR"/>
        </w:rPr>
      </w:pPr>
      <w:r>
        <w:rPr>
          <w:lang w:bidi="fa-IR"/>
        </w:rPr>
        <w:t>These broad insights give an indication of the factors that need to be included when calculating the relative costs of different abatement pathways.</w:t>
      </w:r>
    </w:p>
    <w:p w14:paraId="2D0A8644" w14:textId="77777777" w:rsidR="00C17274" w:rsidRDefault="00F267B2" w:rsidP="00600CD0">
      <w:pPr>
        <w:pStyle w:val="BodyText"/>
        <w:rPr>
          <w:lang w:bidi="fa-IR"/>
        </w:rPr>
      </w:pPr>
      <w:r>
        <w:rPr>
          <w:lang w:bidi="fa-IR"/>
        </w:rPr>
        <w:t xml:space="preserve">Most of the modelling literature does not explicitly consider the best pathway to achieve a given end target with a specific budget along the way. Rather, most of the literature considers the relative costs of different overall targets in cases where the overall budget is either implicit, or not considered at all. </w:t>
      </w:r>
    </w:p>
    <w:p w14:paraId="5CF6D55A" w14:textId="51AED3CF" w:rsidR="00F267B2" w:rsidRDefault="00F267B2" w:rsidP="00600CD0">
      <w:pPr>
        <w:pStyle w:val="BodyText"/>
        <w:rPr>
          <w:lang w:bidi="fa-IR"/>
        </w:rPr>
      </w:pPr>
      <w:r>
        <w:rPr>
          <w:lang w:bidi="fa-IR"/>
        </w:rPr>
        <w:t xml:space="preserve">In some of the literature (for example Stern </w:t>
      </w:r>
      <w:r w:rsidR="00A15EEC">
        <w:rPr>
          <w:lang w:bidi="fa-IR"/>
        </w:rPr>
        <w:t>2006</w:t>
      </w:r>
      <w:r>
        <w:rPr>
          <w:lang w:bidi="fa-IR"/>
        </w:rPr>
        <w:t xml:space="preserve">) the use of a low discount rate implies that abatement should be substantively brought forward. </w:t>
      </w:r>
      <w:r w:rsidR="00C17274">
        <w:rPr>
          <w:lang w:bidi="fa-IR"/>
        </w:rPr>
        <w:t xml:space="preserve">In contrast, a slightly higher discount rate (Nordhaus 2008) implies a slower abatement path. </w:t>
      </w:r>
      <w:r>
        <w:rPr>
          <w:lang w:bidi="fa-IR"/>
        </w:rPr>
        <w:t xml:space="preserve">However, </w:t>
      </w:r>
      <w:r w:rsidR="00C17274">
        <w:rPr>
          <w:lang w:bidi="fa-IR"/>
        </w:rPr>
        <w:t>these</w:t>
      </w:r>
      <w:r>
        <w:rPr>
          <w:lang w:bidi="fa-IR"/>
        </w:rPr>
        <w:t xml:space="preserve"> insight</w:t>
      </w:r>
      <w:r w:rsidR="00C17274">
        <w:rPr>
          <w:lang w:bidi="fa-IR"/>
        </w:rPr>
        <w:t>s</w:t>
      </w:r>
      <w:r>
        <w:rPr>
          <w:lang w:bidi="fa-IR"/>
        </w:rPr>
        <w:t xml:space="preserve"> </w:t>
      </w:r>
      <w:r w:rsidR="00C17274">
        <w:rPr>
          <w:lang w:bidi="fa-IR"/>
        </w:rPr>
        <w:t>do not themselves</w:t>
      </w:r>
      <w:r>
        <w:rPr>
          <w:lang w:bidi="fa-IR"/>
        </w:rPr>
        <w:t xml:space="preserve"> allow us to rank the different specific options.</w:t>
      </w:r>
    </w:p>
    <w:p w14:paraId="430B2712" w14:textId="09106C32" w:rsidR="00F267B2" w:rsidRDefault="009C26EC" w:rsidP="00600CD0">
      <w:pPr>
        <w:pStyle w:val="BodyText"/>
        <w:rPr>
          <w:lang w:bidi="fa-IR"/>
        </w:rPr>
      </w:pPr>
      <w:r>
        <w:rPr>
          <w:lang w:bidi="fa-IR"/>
        </w:rPr>
        <w:t>T</w:t>
      </w:r>
      <w:r w:rsidR="00F267B2">
        <w:rPr>
          <w:lang w:bidi="fa-IR"/>
        </w:rPr>
        <w:t xml:space="preserve">o provide a quantitative analysis, we repurpose original modelling results to generate a relationship between abatement and GSI </w:t>
      </w:r>
      <w:proofErr w:type="gramStart"/>
      <w:r w:rsidR="00F267B2">
        <w:rPr>
          <w:lang w:bidi="fa-IR"/>
        </w:rPr>
        <w:t>in order to</w:t>
      </w:r>
      <w:proofErr w:type="gramEnd"/>
      <w:r w:rsidR="00F267B2">
        <w:rPr>
          <w:lang w:bidi="fa-IR"/>
        </w:rPr>
        <w:t xml:space="preserve"> calculate the costs of different pathways.</w:t>
      </w:r>
    </w:p>
    <w:p w14:paraId="4DC07AD6" w14:textId="77777777" w:rsidR="00D71756" w:rsidRDefault="00D71756" w:rsidP="00600CD0">
      <w:pPr>
        <w:pStyle w:val="BodyText"/>
        <w:rPr>
          <w:lang w:bidi="fa-IR"/>
        </w:rPr>
      </w:pPr>
    </w:p>
    <w:p w14:paraId="6D0D758E" w14:textId="0470041A" w:rsidR="00291652" w:rsidRDefault="001C3DE5" w:rsidP="00C97F0D">
      <w:pPr>
        <w:pStyle w:val="Heading1"/>
        <w:rPr>
          <w:lang w:bidi="fa-IR"/>
        </w:rPr>
      </w:pPr>
      <w:bookmarkStart w:id="56" w:name="_Toc9778452"/>
      <w:r>
        <w:rPr>
          <w:lang w:bidi="fa-IR"/>
        </w:rPr>
        <w:lastRenderedPageBreak/>
        <w:t>Using results from existing</w:t>
      </w:r>
      <w:r w:rsidR="00291652">
        <w:rPr>
          <w:lang w:bidi="fa-IR"/>
        </w:rPr>
        <w:t xml:space="preserve"> CGE modelling exercises</w:t>
      </w:r>
      <w:bookmarkEnd w:id="56"/>
    </w:p>
    <w:p w14:paraId="0ED9D27E" w14:textId="498A351F" w:rsidR="00CB0B49" w:rsidRDefault="00BD6816" w:rsidP="00CB0B49">
      <w:pPr>
        <w:pStyle w:val="Heading2"/>
        <w:rPr>
          <w:lang w:bidi="fa-IR"/>
        </w:rPr>
      </w:pPr>
      <w:bookmarkStart w:id="57" w:name="_Toc9778453"/>
      <w:r>
        <w:rPr>
          <w:lang w:bidi="fa-IR"/>
        </w:rPr>
        <w:t>Overview of a</w:t>
      </w:r>
      <w:r w:rsidR="00B13326">
        <w:rPr>
          <w:lang w:bidi="fa-IR"/>
        </w:rPr>
        <w:t>pproach and required data</w:t>
      </w:r>
      <w:bookmarkEnd w:id="57"/>
    </w:p>
    <w:p w14:paraId="3DDEF7A6" w14:textId="5666C331" w:rsidR="00BD6816" w:rsidRDefault="00C44B6A" w:rsidP="00C44B6A">
      <w:pPr>
        <w:pStyle w:val="BodyText"/>
        <w:rPr>
          <w:lang w:bidi="fa-IR"/>
        </w:rPr>
      </w:pPr>
      <w:r>
        <w:rPr>
          <w:lang w:bidi="fa-IR"/>
        </w:rPr>
        <w:t xml:space="preserve">To understand which emissions reductions path is </w:t>
      </w:r>
      <w:r w:rsidR="003D5131">
        <w:rPr>
          <w:lang w:bidi="fa-IR"/>
        </w:rPr>
        <w:t>less costly</w:t>
      </w:r>
      <w:r>
        <w:rPr>
          <w:lang w:bidi="fa-IR"/>
        </w:rPr>
        <w:t xml:space="preserve"> (relative to the others) it is </w:t>
      </w:r>
      <w:proofErr w:type="gramStart"/>
      <w:r>
        <w:rPr>
          <w:lang w:bidi="fa-IR"/>
        </w:rPr>
        <w:t>sufficient</w:t>
      </w:r>
      <w:proofErr w:type="gramEnd"/>
      <w:r>
        <w:rPr>
          <w:lang w:bidi="fa-IR"/>
        </w:rPr>
        <w:t xml:space="preserve"> to rank them by comparing each one to a reasonable, pre-specified </w:t>
      </w:r>
      <w:r w:rsidRPr="008A23A7">
        <w:rPr>
          <w:b/>
          <w:lang w:bidi="fa-IR"/>
        </w:rPr>
        <w:t>baseline</w:t>
      </w:r>
      <w:r w:rsidR="00243A84">
        <w:rPr>
          <w:b/>
          <w:lang w:bidi="fa-IR"/>
        </w:rPr>
        <w:t xml:space="preserve"> </w:t>
      </w:r>
      <w:r w:rsidR="00243A84">
        <w:rPr>
          <w:lang w:bidi="fa-IR"/>
        </w:rPr>
        <w:t>for emissions</w:t>
      </w:r>
      <w:r>
        <w:rPr>
          <w:lang w:bidi="fa-IR"/>
        </w:rPr>
        <w:t xml:space="preserve">. </w:t>
      </w:r>
    </w:p>
    <w:p w14:paraId="32E2C690" w14:textId="4B55319C" w:rsidR="00752FC4" w:rsidRDefault="00752FC4" w:rsidP="008A23A7">
      <w:pPr>
        <w:pStyle w:val="BodyText"/>
        <w:rPr>
          <w:lang w:bidi="fa-IR"/>
        </w:rPr>
      </w:pPr>
      <w:r>
        <w:rPr>
          <w:lang w:bidi="fa-IR"/>
        </w:rPr>
        <w:t xml:space="preserve">For each emissions reduction path, we calculate the deviation in emissions relative to baseline and then calculate the </w:t>
      </w:r>
      <w:r w:rsidR="003D5131">
        <w:rPr>
          <w:lang w:bidi="fa-IR"/>
        </w:rPr>
        <w:t xml:space="preserve">implied </w:t>
      </w:r>
      <w:r>
        <w:rPr>
          <w:lang w:bidi="fa-IR"/>
        </w:rPr>
        <w:t xml:space="preserve">cost of this, expressed in terms of a deviation in some macroeconomic variable from baseline. The cost curve (deviation in a given macroeconomic variable from baseline, given a deviation in emissions from baseline) can be derived from </w:t>
      </w:r>
      <w:r w:rsidR="00600CD0">
        <w:rPr>
          <w:lang w:bidi="fa-IR"/>
        </w:rPr>
        <w:t>published results</w:t>
      </w:r>
      <w:r>
        <w:rPr>
          <w:lang w:bidi="fa-IR"/>
        </w:rPr>
        <w:t xml:space="preserve">. </w:t>
      </w:r>
    </w:p>
    <w:p w14:paraId="09BF7A39" w14:textId="047B1DF5" w:rsidR="00752FC4" w:rsidRDefault="00752FC4" w:rsidP="008A23A7">
      <w:pPr>
        <w:pStyle w:val="BodyText"/>
        <w:rPr>
          <w:lang w:bidi="fa-IR"/>
        </w:rPr>
      </w:pPr>
      <w:r>
        <w:rPr>
          <w:lang w:bidi="fa-IR"/>
        </w:rPr>
        <w:t>The variable that is considered in the three recent studies we focus on is Gross State Income (GSI, the income that accrues to Victorians in Victorian focused studie</w:t>
      </w:r>
      <w:r w:rsidR="003D5131">
        <w:rPr>
          <w:lang w:bidi="fa-IR"/>
        </w:rPr>
        <w:t>s) and Gross National Income (GN</w:t>
      </w:r>
      <w:r>
        <w:rPr>
          <w:lang w:bidi="fa-IR"/>
        </w:rPr>
        <w:t>I, the income that accrues to Australians in Australia</w:t>
      </w:r>
      <w:r w:rsidR="004813BC">
        <w:rPr>
          <w:lang w:bidi="fa-IR"/>
        </w:rPr>
        <w:t>n</w:t>
      </w:r>
      <w:r>
        <w:rPr>
          <w:lang w:bidi="fa-IR"/>
        </w:rPr>
        <w:t xml:space="preserve"> focused studies)</w:t>
      </w:r>
      <w:r w:rsidR="00600CD0">
        <w:rPr>
          <w:lang w:bidi="fa-IR"/>
        </w:rPr>
        <w:t xml:space="preserve">. </w:t>
      </w:r>
    </w:p>
    <w:p w14:paraId="0BE08984" w14:textId="5A102D0A" w:rsidR="003D705A" w:rsidRDefault="00752FC4" w:rsidP="003D705A">
      <w:pPr>
        <w:pStyle w:val="BodyText"/>
        <w:rPr>
          <w:lang w:bidi="fa-IR"/>
        </w:rPr>
      </w:pPr>
      <w:r>
        <w:rPr>
          <w:lang w:bidi="fa-IR"/>
        </w:rPr>
        <w:t>T</w:t>
      </w:r>
      <w:r w:rsidR="003D705A">
        <w:rPr>
          <w:lang w:bidi="fa-IR"/>
        </w:rPr>
        <w:t>he form of the relationship we derive between GSI and emissions is an</w:t>
      </w:r>
      <w:r w:rsidR="008A23A7">
        <w:rPr>
          <w:lang w:bidi="fa-IR"/>
        </w:rPr>
        <w:t xml:space="preserve"> </w:t>
      </w:r>
      <w:r w:rsidR="008A23A7" w:rsidRPr="008A23A7">
        <w:rPr>
          <w:b/>
          <w:lang w:bidi="fa-IR"/>
        </w:rPr>
        <w:t>elasticity</w:t>
      </w:r>
      <w:r w:rsidR="003D705A">
        <w:rPr>
          <w:b/>
          <w:lang w:bidi="fa-IR"/>
        </w:rPr>
        <w:t xml:space="preserve">: </w:t>
      </w:r>
      <w:r w:rsidR="003D705A">
        <w:rPr>
          <w:lang w:bidi="fa-IR"/>
        </w:rPr>
        <w:t xml:space="preserve">the per cent </w:t>
      </w:r>
      <w:r w:rsidR="008A23A7">
        <w:rPr>
          <w:lang w:bidi="fa-IR"/>
        </w:rPr>
        <w:t>deviation in GS</w:t>
      </w:r>
      <w:r w:rsidR="007A4FCD">
        <w:rPr>
          <w:lang w:bidi="fa-IR"/>
        </w:rPr>
        <w:t>I</w:t>
      </w:r>
      <w:r w:rsidR="008A23A7">
        <w:rPr>
          <w:lang w:bidi="fa-IR"/>
        </w:rPr>
        <w:t xml:space="preserve"> from baseline </w:t>
      </w:r>
      <w:r w:rsidR="003D705A">
        <w:rPr>
          <w:lang w:bidi="fa-IR"/>
        </w:rPr>
        <w:t xml:space="preserve">against the per cent </w:t>
      </w:r>
      <w:r w:rsidR="008A23A7">
        <w:rPr>
          <w:lang w:bidi="fa-IR"/>
        </w:rPr>
        <w:t>deviation in emissions from baseline</w:t>
      </w:r>
      <w:r w:rsidR="003D705A">
        <w:rPr>
          <w:lang w:bidi="fa-IR"/>
        </w:rPr>
        <w:t>. As studies gener</w:t>
      </w:r>
      <w:r w:rsidR="000C6BC7">
        <w:rPr>
          <w:lang w:bidi="fa-IR"/>
        </w:rPr>
        <w:t>ally project emissions and economic variables (in scenarios and in the baseline) in each year, for multiple decades</w:t>
      </w:r>
      <w:r w:rsidR="00B13326">
        <w:rPr>
          <w:lang w:bidi="fa-IR"/>
        </w:rPr>
        <w:t xml:space="preserve"> into the future</w:t>
      </w:r>
      <w:r w:rsidR="000C6BC7">
        <w:rPr>
          <w:lang w:bidi="fa-IR"/>
        </w:rPr>
        <w:t xml:space="preserve">, they provide us </w:t>
      </w:r>
      <w:r w:rsidR="00B13326">
        <w:rPr>
          <w:lang w:bidi="fa-IR"/>
        </w:rPr>
        <w:t xml:space="preserve">with </w:t>
      </w:r>
      <w:r>
        <w:rPr>
          <w:lang w:bidi="fa-IR"/>
        </w:rPr>
        <w:t>many</w:t>
      </w:r>
      <w:r w:rsidR="00B13326">
        <w:rPr>
          <w:lang w:bidi="fa-IR"/>
        </w:rPr>
        <w:t xml:space="preserve"> observations for deviation in macroeconomic variables (from baseline), given a deviation in emissions (from baseline).</w:t>
      </w:r>
    </w:p>
    <w:p w14:paraId="40BBEBE2" w14:textId="7E24E82A" w:rsidR="003D5131" w:rsidRDefault="00B13326" w:rsidP="00DB4E24">
      <w:pPr>
        <w:pStyle w:val="BodyText"/>
        <w:rPr>
          <w:lang w:bidi="fa-IR"/>
        </w:rPr>
      </w:pPr>
      <w:r>
        <w:rPr>
          <w:lang w:bidi="fa-IR"/>
        </w:rPr>
        <w:t xml:space="preserve">Finally, to compare GSI losses in future years across scenarios on the same basis we need to discount all future losses using an appropriate </w:t>
      </w:r>
      <w:r>
        <w:rPr>
          <w:b/>
          <w:lang w:bidi="fa-IR"/>
        </w:rPr>
        <w:t>d</w:t>
      </w:r>
      <w:r w:rsidR="008A23A7" w:rsidRPr="008A23A7">
        <w:rPr>
          <w:b/>
          <w:lang w:bidi="fa-IR"/>
        </w:rPr>
        <w:t>iscount rate</w:t>
      </w:r>
      <w:r>
        <w:rPr>
          <w:lang w:bidi="fa-IR"/>
        </w:rPr>
        <w:t>. The discount rate c</w:t>
      </w:r>
      <w:r w:rsidR="008A23A7">
        <w:rPr>
          <w:lang w:bidi="fa-IR"/>
        </w:rPr>
        <w:t>apture</w:t>
      </w:r>
      <w:r>
        <w:rPr>
          <w:lang w:bidi="fa-IR"/>
        </w:rPr>
        <w:t xml:space="preserve">s the </w:t>
      </w:r>
      <w:r w:rsidR="008A23A7">
        <w:rPr>
          <w:lang w:bidi="fa-IR"/>
        </w:rPr>
        <w:t>opportunity cost of resources used to achieve emissions reduction</w:t>
      </w:r>
      <w:r>
        <w:rPr>
          <w:lang w:bidi="fa-IR"/>
        </w:rPr>
        <w:t>. Total, future, discounted losses of GSI are divided by total, future,</w:t>
      </w:r>
      <w:r w:rsidR="003D5131">
        <w:rPr>
          <w:lang w:bidi="fa-IR"/>
        </w:rPr>
        <w:t xml:space="preserve"> discounted GSI in the baseline, and we identify which scenario implies the </w:t>
      </w:r>
      <w:r>
        <w:rPr>
          <w:lang w:bidi="fa-IR"/>
        </w:rPr>
        <w:t>smallest loss of GSI as a per cent of GSI in the baseline</w:t>
      </w:r>
      <w:r w:rsidR="003D5131">
        <w:rPr>
          <w:lang w:bidi="fa-IR"/>
        </w:rPr>
        <w:t>.</w:t>
      </w:r>
    </w:p>
    <w:p w14:paraId="5339F7E6" w14:textId="07C84437" w:rsidR="00CB0B49" w:rsidRDefault="00872022" w:rsidP="00C50EA4">
      <w:pPr>
        <w:pStyle w:val="Heading7"/>
        <w:rPr>
          <w:lang w:bidi="fa-IR"/>
        </w:rPr>
      </w:pPr>
      <w:r>
        <w:rPr>
          <w:lang w:bidi="fa-IR"/>
        </w:rPr>
        <w:t>Baseline</w:t>
      </w:r>
    </w:p>
    <w:p w14:paraId="0B8203E1" w14:textId="46E04B6A" w:rsidR="00242E53" w:rsidRDefault="00752FC4" w:rsidP="00243A84">
      <w:pPr>
        <w:pStyle w:val="BodyText"/>
        <w:rPr>
          <w:lang w:bidi="fa-IR"/>
        </w:rPr>
      </w:pPr>
      <w:r>
        <w:rPr>
          <w:lang w:bidi="fa-IR"/>
        </w:rPr>
        <w:t xml:space="preserve">It is not necessary for this baseline to be ‘business as usual’ (as the question here is </w:t>
      </w:r>
      <w:r>
        <w:rPr>
          <w:i/>
          <w:lang w:bidi="fa-IR"/>
        </w:rPr>
        <w:t xml:space="preserve">not </w:t>
      </w:r>
      <w:r>
        <w:rPr>
          <w:lang w:bidi="fa-IR"/>
        </w:rPr>
        <w:t xml:space="preserve">estimating the cost of emissions reduction </w:t>
      </w:r>
      <w:r>
        <w:rPr>
          <w:i/>
          <w:lang w:bidi="fa-IR"/>
        </w:rPr>
        <w:t>per se</w:t>
      </w:r>
      <w:r>
        <w:rPr>
          <w:lang w:bidi="fa-IR"/>
        </w:rPr>
        <w:t xml:space="preserve">) </w:t>
      </w:r>
      <w:r w:rsidR="000520DE">
        <w:rPr>
          <w:lang w:bidi="fa-IR"/>
        </w:rPr>
        <w:t>f</w:t>
      </w:r>
      <w:r>
        <w:rPr>
          <w:lang w:bidi="fa-IR"/>
        </w:rPr>
        <w:t xml:space="preserve">or an optimal path for emissions reduction (given the stated constraints). </w:t>
      </w:r>
      <w:r w:rsidR="000520DE">
        <w:rPr>
          <w:lang w:bidi="fa-IR"/>
        </w:rPr>
        <w:t>We use DELWP (2016) to generate a baseline for both emissions and Victorian Gross State Income</w:t>
      </w:r>
      <w:r w:rsidR="00185E53">
        <w:rPr>
          <w:lang w:bidi="fa-IR"/>
        </w:rPr>
        <w:t xml:space="preserve">. </w:t>
      </w:r>
      <w:r w:rsidR="000520DE">
        <w:rPr>
          <w:lang w:bidi="fa-IR"/>
        </w:rPr>
        <w:t>This</w:t>
      </w:r>
      <w:r w:rsidR="00185E53">
        <w:rPr>
          <w:lang w:bidi="fa-IR"/>
        </w:rPr>
        <w:t xml:space="preserve"> </w:t>
      </w:r>
      <w:r w:rsidR="000520DE">
        <w:rPr>
          <w:lang w:bidi="fa-IR"/>
        </w:rPr>
        <w:t>baseline</w:t>
      </w:r>
      <w:r w:rsidR="00185E53">
        <w:rPr>
          <w:lang w:bidi="fa-IR"/>
        </w:rPr>
        <w:t xml:space="preserve"> includes the continuation of existing national level policies and Victorian policy</w:t>
      </w:r>
      <w:r w:rsidR="0003540A">
        <w:rPr>
          <w:lang w:bidi="fa-IR"/>
        </w:rPr>
        <w:t xml:space="preserve"> announced in 2016</w:t>
      </w:r>
      <w:r w:rsidR="00001E54">
        <w:rPr>
          <w:rStyle w:val="FootnoteReference"/>
          <w:lang w:bidi="fa-IR"/>
        </w:rPr>
        <w:footnoteReference w:id="4"/>
      </w:r>
      <w:r w:rsidR="00242E53">
        <w:rPr>
          <w:lang w:bidi="fa-IR"/>
        </w:rPr>
        <w:t xml:space="preserve">. </w:t>
      </w:r>
      <w:r w:rsidR="00242E53">
        <w:rPr>
          <w:lang w:bidi="fa-IR"/>
        </w:rPr>
        <w:lastRenderedPageBreak/>
        <w:t xml:space="preserve">Chart </w:t>
      </w:r>
      <w:r w:rsidR="00242E53">
        <w:rPr>
          <w:lang w:bidi="fa-IR"/>
        </w:rPr>
        <w:fldChar w:fldCharType="begin"/>
      </w:r>
      <w:r w:rsidR="00242E53">
        <w:rPr>
          <w:lang w:bidi="fa-IR"/>
        </w:rPr>
        <w:instrText xml:space="preserve"> REF _Caption9336 </w:instrText>
      </w:r>
      <w:r w:rsidR="00242E53">
        <w:rPr>
          <w:lang w:bidi="fa-IR"/>
        </w:rPr>
        <w:fldChar w:fldCharType="separate"/>
      </w:r>
      <w:r w:rsidR="00ED1D13">
        <w:rPr>
          <w:noProof/>
        </w:rPr>
        <w:t>3</w:t>
      </w:r>
      <w:r w:rsidR="00ED1D13" w:rsidRPr="00695C93">
        <w:rPr>
          <w:noProof/>
        </w:rPr>
        <w:t>.</w:t>
      </w:r>
      <w:r w:rsidR="00ED1D13">
        <w:rPr>
          <w:noProof/>
        </w:rPr>
        <w:t>1</w:t>
      </w:r>
      <w:r w:rsidR="00242E53">
        <w:rPr>
          <w:lang w:bidi="fa-IR"/>
        </w:rPr>
        <w:fldChar w:fldCharType="end"/>
      </w:r>
      <w:r w:rsidR="00242E53">
        <w:rPr>
          <w:lang w:bidi="fa-IR"/>
        </w:rPr>
        <w:t xml:space="preserve"> shows the history of emissions in Victoria and Australia, </w:t>
      </w:r>
      <w:r w:rsidR="000520DE">
        <w:rPr>
          <w:lang w:bidi="fa-IR"/>
        </w:rPr>
        <w:t>the baseline we adopt</w:t>
      </w:r>
      <w:r w:rsidR="00BC0DCC">
        <w:rPr>
          <w:lang w:bidi="fa-IR"/>
        </w:rPr>
        <w:t>,</w:t>
      </w:r>
      <w:r w:rsidR="00242E53">
        <w:rPr>
          <w:lang w:bidi="fa-IR"/>
        </w:rPr>
        <w:t xml:space="preserve"> and baselines adopted by other </w:t>
      </w:r>
      <w:r w:rsidR="00436459">
        <w:rPr>
          <w:lang w:bidi="fa-IR"/>
        </w:rPr>
        <w:t xml:space="preserve">earlier </w:t>
      </w:r>
      <w:r w:rsidR="00242E53">
        <w:rPr>
          <w:lang w:bidi="fa-IR"/>
        </w:rPr>
        <w:t xml:space="preserve">studies. In other studies, assumed baselines tended to see emissions grow over time. </w:t>
      </w:r>
      <w:r w:rsidR="003D5131">
        <w:rPr>
          <w:lang w:bidi="fa-IR"/>
        </w:rPr>
        <w:t>E</w:t>
      </w:r>
      <w:r w:rsidR="00242E53">
        <w:rPr>
          <w:lang w:bidi="fa-IR"/>
        </w:rPr>
        <w:t xml:space="preserve">missions have </w:t>
      </w:r>
      <w:r w:rsidR="003D5131">
        <w:rPr>
          <w:lang w:bidi="fa-IR"/>
        </w:rPr>
        <w:t>dropped in recent years</w:t>
      </w:r>
      <w:r w:rsidR="00242E53">
        <w:rPr>
          <w:lang w:bidi="fa-IR"/>
        </w:rPr>
        <w:t>. This drop at least partially reflects the imposition of emissions reducing policies (e.g. the Renewable Energy Target at the Commonwealth level).</w:t>
      </w:r>
      <w:r w:rsidR="009C6B2B">
        <w:rPr>
          <w:lang w:bidi="fa-IR"/>
        </w:rPr>
        <w:t xml:space="preserve"> </w:t>
      </w:r>
      <w:r w:rsidR="003D5131">
        <w:rPr>
          <w:lang w:bidi="fa-IR"/>
        </w:rPr>
        <w:t xml:space="preserve">We </w:t>
      </w:r>
      <w:r w:rsidR="008855F6">
        <w:rPr>
          <w:lang w:bidi="fa-IR"/>
        </w:rPr>
        <w:t>perform</w:t>
      </w:r>
      <w:r w:rsidR="003D5131">
        <w:rPr>
          <w:lang w:bidi="fa-IR"/>
        </w:rPr>
        <w:t xml:space="preserve"> sensitivity analysis on our results by using </w:t>
      </w:r>
      <w:r w:rsidR="008855F6">
        <w:rPr>
          <w:lang w:bidi="fa-IR"/>
        </w:rPr>
        <w:t>alternative</w:t>
      </w:r>
      <w:r w:rsidR="003D5131">
        <w:rPr>
          <w:lang w:bidi="fa-IR"/>
        </w:rPr>
        <w:t xml:space="preserve"> baselines (see Appendix B). Overall, t</w:t>
      </w:r>
      <w:r w:rsidR="009C6B2B">
        <w:rPr>
          <w:lang w:bidi="fa-IR"/>
        </w:rPr>
        <w:t>he conclusions are the same as those drawn below (i.e. switching baselines does not impact the results).</w:t>
      </w:r>
    </w:p>
    <w:p w14:paraId="7BF479F0" w14:textId="58404DAF" w:rsidR="00242E53" w:rsidRPr="00695C93" w:rsidRDefault="00242E53" w:rsidP="00242E53">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58" w:name="_Caption7420"/>
      <w:bookmarkStart w:id="59" w:name="_Caption6495"/>
      <w:bookmarkStart w:id="60" w:name="_Caption9636"/>
      <w:bookmarkStart w:id="61" w:name="_Caption7700"/>
      <w:bookmarkStart w:id="62" w:name="_Caption9682"/>
      <w:bookmarkStart w:id="63" w:name="_Caption9336"/>
      <w:bookmarkStart w:id="64" w:name="_Caption5485"/>
      <w:bookmarkStart w:id="65" w:name="_Caption5338"/>
      <w:bookmarkStart w:id="66" w:name="_Caption8857"/>
      <w:bookmarkStart w:id="67" w:name="_Caption5357"/>
      <w:bookmarkStart w:id="68" w:name="_Caption3850"/>
      <w:bookmarkStart w:id="69" w:name="_Caption5975"/>
      <w:bookmarkStart w:id="70" w:name="_Caption5764"/>
      <w:bookmarkStart w:id="71" w:name="_Caption1205"/>
      <w:bookmarkStart w:id="72" w:name="_Caption8536"/>
      <w:bookmarkStart w:id="73" w:name="_Caption7048"/>
      <w:bookmarkStart w:id="74" w:name="_Caption8616"/>
      <w:bookmarkStart w:id="75" w:name="_Caption3846"/>
      <w:bookmarkStart w:id="76" w:name="_Caption3174"/>
      <w:bookmarkStart w:id="77" w:name="_Caption6581"/>
      <w:bookmarkStart w:id="78" w:name="_Caption0183"/>
      <w:bookmarkStart w:id="79" w:name="_Caption0522"/>
      <w:bookmarkStart w:id="80" w:name="_Toc9778469"/>
      <w:r w:rsidR="008A2B2B">
        <w:rPr>
          <w:noProof/>
        </w:rPr>
        <w:t>3</w:t>
      </w:r>
      <w:r w:rsidR="008A2B2B" w:rsidRPr="00695C93">
        <w:rPr>
          <w:noProof/>
        </w:rPr>
        <w:t>.</w:t>
      </w:r>
      <w:r w:rsidR="008A2B2B">
        <w:rPr>
          <w:noProof/>
        </w:rPr>
        <w:t>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95C93">
        <w:fldChar w:fldCharType="end"/>
      </w:r>
      <w:r w:rsidRPr="00695C93">
        <w:tab/>
      </w:r>
      <w:r>
        <w:t>Emissions: history and baseline scenarios by modeller</w:t>
      </w:r>
      <w:r w:rsidR="00DA28B8">
        <w:t xml:space="preserve"> (Mt</w:t>
      </w:r>
      <w:r w:rsidR="003D5131">
        <w:t xml:space="preserve"> CO</w:t>
      </w:r>
      <w:r w:rsidR="003D5131">
        <w:rPr>
          <w:vertAlign w:val="subscript"/>
        </w:rPr>
        <w:t>2</w:t>
      </w:r>
      <w:r w:rsidR="003D5131">
        <w:t>e</w:t>
      </w:r>
      <w:r w:rsidR="00DA28B8">
        <w:t>)</w:t>
      </w:r>
      <w:bookmarkEnd w:id="80"/>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242E53" w14:paraId="59A37562" w14:textId="77777777" w:rsidTr="00242E53">
        <w:trPr>
          <w:cantSplit/>
        </w:trPr>
        <w:tc>
          <w:tcPr>
            <w:tcW w:w="7938" w:type="dxa"/>
            <w:shd w:val="clear" w:color="auto" w:fill="E9E8E5" w:themeFill="background2"/>
          </w:tcPr>
          <w:p w14:paraId="6CF6F860" w14:textId="7EC2D101" w:rsidR="00242E53" w:rsidRDefault="003B5F65" w:rsidP="000514ED">
            <w:pPr>
              <w:pStyle w:val="Chart"/>
              <w:jc w:val="center"/>
            </w:pPr>
            <w:r w:rsidRPr="003B5F65">
              <w:rPr>
                <w:noProof/>
              </w:rPr>
              <w:drawing>
                <wp:inline distT="0" distB="0" distL="0" distR="0" wp14:anchorId="4C82E483" wp14:editId="151C6E5E">
                  <wp:extent cx="5035550" cy="2584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5550" cy="2584450"/>
                          </a:xfrm>
                          <a:prstGeom prst="rect">
                            <a:avLst/>
                          </a:prstGeom>
                          <a:noFill/>
                          <a:ln>
                            <a:noFill/>
                          </a:ln>
                        </pic:spPr>
                      </pic:pic>
                    </a:graphicData>
                  </a:graphic>
                </wp:inline>
              </w:drawing>
            </w:r>
          </w:p>
        </w:tc>
      </w:tr>
    </w:tbl>
    <w:p w14:paraId="6EDB09D7" w14:textId="12ECC99A" w:rsidR="00242E53" w:rsidRDefault="00242E53" w:rsidP="00242E53">
      <w:pPr>
        <w:pStyle w:val="Source"/>
      </w:pPr>
      <w:r>
        <w:rPr>
          <w:i/>
        </w:rPr>
        <w:t>Data source</w:t>
      </w:r>
      <w:r w:rsidRPr="00A67576">
        <w:rPr>
          <w:i/>
        </w:rPr>
        <w:t>:</w:t>
      </w:r>
      <w:r>
        <w:t xml:space="preserve"> Sources as noted; The CIE</w:t>
      </w:r>
    </w:p>
    <w:p w14:paraId="686FF689" w14:textId="7F0C06CE" w:rsidR="00435332" w:rsidRDefault="00BB5FAF" w:rsidP="00435332">
      <w:pPr>
        <w:pStyle w:val="BodyText"/>
        <w:rPr>
          <w:lang w:bidi="fa-IR"/>
        </w:rPr>
      </w:pPr>
      <w:r>
        <w:rPr>
          <w:lang w:eastAsia="en-US"/>
        </w:rPr>
        <w:t xml:space="preserve">Chart </w:t>
      </w:r>
      <w:r>
        <w:rPr>
          <w:lang w:eastAsia="en-US"/>
        </w:rPr>
        <w:fldChar w:fldCharType="begin"/>
      </w:r>
      <w:r>
        <w:rPr>
          <w:lang w:eastAsia="en-US"/>
        </w:rPr>
        <w:instrText xml:space="preserve"> REF _Caption6468 </w:instrText>
      </w:r>
      <w:r>
        <w:rPr>
          <w:lang w:eastAsia="en-US"/>
        </w:rPr>
        <w:fldChar w:fldCharType="separate"/>
      </w:r>
      <w:r w:rsidR="00ED1D13">
        <w:rPr>
          <w:noProof/>
        </w:rPr>
        <w:t>3</w:t>
      </w:r>
      <w:r w:rsidR="00ED1D13" w:rsidRPr="00695C93">
        <w:rPr>
          <w:noProof/>
        </w:rPr>
        <w:t>.</w:t>
      </w:r>
      <w:r w:rsidR="00ED1D13">
        <w:rPr>
          <w:noProof/>
        </w:rPr>
        <w:t>2</w:t>
      </w:r>
      <w:r>
        <w:rPr>
          <w:lang w:eastAsia="en-US"/>
        </w:rPr>
        <w:fldChar w:fldCharType="end"/>
      </w:r>
      <w:r>
        <w:rPr>
          <w:lang w:eastAsia="en-US"/>
        </w:rPr>
        <w:t xml:space="preserve"> shows emissions in each of the paths the </w:t>
      </w:r>
      <w:r w:rsidR="000520DE">
        <w:rPr>
          <w:lang w:eastAsia="en-US"/>
        </w:rPr>
        <w:t>P</w:t>
      </w:r>
      <w:r>
        <w:rPr>
          <w:lang w:eastAsia="en-US"/>
        </w:rPr>
        <w:t xml:space="preserve">anel is considering, expressed as a percentage deviation from </w:t>
      </w:r>
      <w:r w:rsidR="000520DE">
        <w:rPr>
          <w:lang w:eastAsia="en-US"/>
        </w:rPr>
        <w:t>baseline emissions</w:t>
      </w:r>
      <w:r>
        <w:rPr>
          <w:lang w:eastAsia="en-US"/>
        </w:rPr>
        <w:t>.</w:t>
      </w:r>
      <w:r w:rsidR="00435332" w:rsidRPr="00435332">
        <w:rPr>
          <w:lang w:bidi="fa-IR"/>
        </w:rPr>
        <w:t xml:space="preserve"> </w:t>
      </w:r>
    </w:p>
    <w:p w14:paraId="32551A06" w14:textId="34046190" w:rsidR="00BB5FAF" w:rsidRDefault="00BB5FAF" w:rsidP="00BB5FAF">
      <w:pPr>
        <w:pStyle w:val="BodyText"/>
        <w:rPr>
          <w:lang w:eastAsia="en-US"/>
        </w:rPr>
      </w:pPr>
    </w:p>
    <w:p w14:paraId="3BA9AD8E" w14:textId="356DA5D5" w:rsidR="00BB5FAF" w:rsidRPr="00695C93" w:rsidRDefault="00BB5FAF" w:rsidP="00BB5FAF">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2</w:instrText>
      </w:r>
      <w:r w:rsidRPr="00695C93">
        <w:fldChar w:fldCharType="end"/>
      </w:r>
      <w:r w:rsidRPr="00695C93">
        <w:instrText xml:space="preserve">" "" </w:instrText>
      </w:r>
      <w:r w:rsidRPr="00695C93">
        <w:fldChar w:fldCharType="separate"/>
      </w:r>
      <w:bookmarkStart w:id="81" w:name="_Caption7853"/>
      <w:bookmarkStart w:id="82" w:name="_Caption9331"/>
      <w:bookmarkStart w:id="83" w:name="_Caption2356"/>
      <w:bookmarkStart w:id="84" w:name="_Caption6468"/>
      <w:bookmarkStart w:id="85" w:name="_Caption7480"/>
      <w:bookmarkStart w:id="86" w:name="_Caption3455"/>
      <w:bookmarkStart w:id="87" w:name="_Caption6972"/>
      <w:bookmarkStart w:id="88" w:name="_Caption6667"/>
      <w:bookmarkStart w:id="89" w:name="_Caption0964"/>
      <w:bookmarkStart w:id="90" w:name="_Caption1160"/>
      <w:bookmarkStart w:id="91" w:name="_Caption3535"/>
      <w:bookmarkStart w:id="92" w:name="_Caption7673"/>
      <w:bookmarkStart w:id="93" w:name="_Caption1435"/>
      <w:bookmarkStart w:id="94" w:name="_Caption8013"/>
      <w:bookmarkStart w:id="95" w:name="_Caption7244"/>
      <w:bookmarkStart w:id="96" w:name="_Toc9778470"/>
      <w:r w:rsidR="008A2B2B">
        <w:rPr>
          <w:noProof/>
        </w:rPr>
        <w:t>3</w:t>
      </w:r>
      <w:r w:rsidR="008A2B2B" w:rsidRPr="00695C93">
        <w:rPr>
          <w:noProof/>
        </w:rPr>
        <w:t>.</w:t>
      </w:r>
      <w:r w:rsidR="008A2B2B">
        <w:rPr>
          <w:noProof/>
        </w:rPr>
        <w:t>2</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95C93">
        <w:fldChar w:fldCharType="end"/>
      </w:r>
      <w:r w:rsidRPr="00695C93">
        <w:tab/>
      </w:r>
      <w:r>
        <w:t>Victorian emissions (</w:t>
      </w:r>
      <w:r w:rsidR="00A808A5">
        <w:t xml:space="preserve">per cent </w:t>
      </w:r>
      <w:r>
        <w:t>deviation from baseline)</w:t>
      </w:r>
      <w:bookmarkEnd w:id="96"/>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BB5FAF" w14:paraId="37E7D2EF" w14:textId="77777777" w:rsidTr="00431F8D">
        <w:trPr>
          <w:cantSplit/>
        </w:trPr>
        <w:tc>
          <w:tcPr>
            <w:tcW w:w="7938" w:type="dxa"/>
            <w:shd w:val="clear" w:color="auto" w:fill="E9E8E5" w:themeFill="background2"/>
          </w:tcPr>
          <w:p w14:paraId="7773FE18" w14:textId="4F1AED29" w:rsidR="00BB5FAF" w:rsidRDefault="00DA28B8" w:rsidP="00DA28B8">
            <w:pPr>
              <w:pStyle w:val="Chart"/>
              <w:jc w:val="center"/>
            </w:pPr>
            <w:r w:rsidRPr="00DA28B8">
              <w:rPr>
                <w:noProof/>
              </w:rPr>
              <w:drawing>
                <wp:inline distT="0" distB="0" distL="0" distR="0" wp14:anchorId="660566FB" wp14:editId="65B0EA57">
                  <wp:extent cx="4876800" cy="2516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2516505"/>
                          </a:xfrm>
                          <a:prstGeom prst="rect">
                            <a:avLst/>
                          </a:prstGeom>
                          <a:noFill/>
                          <a:ln>
                            <a:noFill/>
                          </a:ln>
                        </pic:spPr>
                      </pic:pic>
                    </a:graphicData>
                  </a:graphic>
                </wp:inline>
              </w:drawing>
            </w:r>
          </w:p>
        </w:tc>
      </w:tr>
    </w:tbl>
    <w:p w14:paraId="3EF53FA8" w14:textId="29492D6F" w:rsidR="00BB5FAF" w:rsidRDefault="00BB5FAF" w:rsidP="00BB5FAF">
      <w:pPr>
        <w:pStyle w:val="Source"/>
      </w:pPr>
      <w:r>
        <w:rPr>
          <w:i/>
        </w:rPr>
        <w:t>Data source</w:t>
      </w:r>
      <w:r w:rsidRPr="00A67576">
        <w:rPr>
          <w:i/>
        </w:rPr>
        <w:t>:</w:t>
      </w:r>
      <w:r>
        <w:t xml:space="preserve"> The CIE</w:t>
      </w:r>
    </w:p>
    <w:p w14:paraId="573CA600" w14:textId="170A20EE" w:rsidR="008A23A7" w:rsidRDefault="00606604" w:rsidP="00C50EA4">
      <w:pPr>
        <w:pStyle w:val="Heading2"/>
        <w:rPr>
          <w:lang w:bidi="fa-IR"/>
        </w:rPr>
      </w:pPr>
      <w:bookmarkStart w:id="97" w:name="_Toc9778454"/>
      <w:r>
        <w:rPr>
          <w:lang w:bidi="fa-IR"/>
        </w:rPr>
        <w:t>Cost curves</w:t>
      </w:r>
      <w:bookmarkEnd w:id="97"/>
    </w:p>
    <w:p w14:paraId="210D1452" w14:textId="49327E7E" w:rsidR="00606604" w:rsidRDefault="00606604" w:rsidP="00606604">
      <w:pPr>
        <w:pStyle w:val="BodyText"/>
        <w:rPr>
          <w:lang w:bidi="fa-IR"/>
        </w:rPr>
      </w:pPr>
      <w:r>
        <w:rPr>
          <w:lang w:bidi="fa-IR"/>
        </w:rPr>
        <w:t xml:space="preserve">It </w:t>
      </w:r>
      <w:r w:rsidR="00CA26E0">
        <w:rPr>
          <w:lang w:bidi="fa-IR"/>
        </w:rPr>
        <w:t xml:space="preserve">is impossible to accurately predict the precise economic costs of future paths for emissions reduction. Rather, the goal here is to present different estimates of the </w:t>
      </w:r>
      <w:r w:rsidR="005F2866">
        <w:rPr>
          <w:lang w:bidi="fa-IR"/>
        </w:rPr>
        <w:t>‘</w:t>
      </w:r>
      <w:r w:rsidR="00CA26E0">
        <w:rPr>
          <w:lang w:bidi="fa-IR"/>
        </w:rPr>
        <w:t>cost curves</w:t>
      </w:r>
      <w:r w:rsidR="005F2866">
        <w:rPr>
          <w:lang w:bidi="fa-IR"/>
        </w:rPr>
        <w:t>’</w:t>
      </w:r>
      <w:r w:rsidR="00CA26E0">
        <w:rPr>
          <w:lang w:bidi="fa-IR"/>
        </w:rPr>
        <w:t xml:space="preserve"> and </w:t>
      </w:r>
      <w:r w:rsidR="00242E53">
        <w:rPr>
          <w:lang w:bidi="fa-IR"/>
        </w:rPr>
        <w:t xml:space="preserve">to </w:t>
      </w:r>
      <w:r w:rsidR="00CA26E0">
        <w:rPr>
          <w:lang w:bidi="fa-IR"/>
        </w:rPr>
        <w:t xml:space="preserve">understand: (1) how and why the costs curves are different and (2) the implications of this for timing of </w:t>
      </w:r>
      <w:r w:rsidR="00242E53">
        <w:rPr>
          <w:lang w:bidi="fa-IR"/>
        </w:rPr>
        <w:t>emissions reduction</w:t>
      </w:r>
      <w:r w:rsidR="00CA26E0">
        <w:rPr>
          <w:lang w:bidi="fa-IR"/>
        </w:rPr>
        <w:t>.</w:t>
      </w:r>
    </w:p>
    <w:p w14:paraId="2DC02202" w14:textId="414F4459" w:rsidR="00606312" w:rsidRDefault="005F2866" w:rsidP="00606604">
      <w:pPr>
        <w:pStyle w:val="BodyText"/>
        <w:rPr>
          <w:lang w:bidi="fa-IR"/>
        </w:rPr>
      </w:pPr>
      <w:r>
        <w:rPr>
          <w:lang w:bidi="fa-IR"/>
        </w:rPr>
        <w:t>We derive ‘cost curves’ from existing studies. These are defined as the implied loss of GSI (relative to baseline) given a reduction in emissions (relative to baseline).</w:t>
      </w:r>
      <w:r w:rsidR="00E02BC8">
        <w:rPr>
          <w:rStyle w:val="FootnoteReference"/>
          <w:lang w:bidi="fa-IR"/>
        </w:rPr>
        <w:footnoteReference w:id="5"/>
      </w:r>
      <w:r>
        <w:rPr>
          <w:lang w:bidi="fa-IR"/>
        </w:rPr>
        <w:t xml:space="preserve"> As explained, w</w:t>
      </w:r>
      <w:r w:rsidR="00606312">
        <w:rPr>
          <w:lang w:bidi="fa-IR"/>
        </w:rPr>
        <w:t xml:space="preserve">e apply cost curves derived from studies done on the Australian economy to the Victorian economy. </w:t>
      </w:r>
      <w:r w:rsidR="00242E53">
        <w:rPr>
          <w:lang w:bidi="fa-IR"/>
        </w:rPr>
        <w:t xml:space="preserve">We are obliged to do this because of a lack of Victorian-focused studies. </w:t>
      </w:r>
      <w:r w:rsidR="00606312">
        <w:rPr>
          <w:lang w:bidi="fa-IR"/>
        </w:rPr>
        <w:t xml:space="preserve">This issue is discussed </w:t>
      </w:r>
      <w:r w:rsidR="00242E53">
        <w:rPr>
          <w:lang w:bidi="fa-IR"/>
        </w:rPr>
        <w:t xml:space="preserve">below </w:t>
      </w:r>
      <w:r w:rsidR="00606312">
        <w:rPr>
          <w:lang w:bidi="fa-IR"/>
        </w:rPr>
        <w:t>as a sensitivity.</w:t>
      </w:r>
    </w:p>
    <w:p w14:paraId="3A79668B" w14:textId="7F14B48A" w:rsidR="00CA26E0" w:rsidRDefault="00BD541A" w:rsidP="00C50EA4">
      <w:pPr>
        <w:pStyle w:val="Heading3"/>
        <w:rPr>
          <w:lang w:bidi="fa-IR"/>
        </w:rPr>
      </w:pPr>
      <w:r>
        <w:rPr>
          <w:lang w:bidi="fa-IR"/>
        </w:rPr>
        <w:t>The level of the cost curve</w:t>
      </w:r>
    </w:p>
    <w:p w14:paraId="26581E13" w14:textId="36E6375D" w:rsidR="00CA26E0" w:rsidRDefault="00CA26E0" w:rsidP="00CA26E0">
      <w:pPr>
        <w:pStyle w:val="BodyText"/>
        <w:rPr>
          <w:lang w:bidi="fa-IR"/>
        </w:rPr>
      </w:pPr>
      <w:r>
        <w:rPr>
          <w:lang w:bidi="fa-IR"/>
        </w:rPr>
        <w:t xml:space="preserve">Different </w:t>
      </w:r>
      <w:r w:rsidR="00222ACD">
        <w:rPr>
          <w:lang w:bidi="fa-IR"/>
        </w:rPr>
        <w:t>studies make different</w:t>
      </w:r>
      <w:r w:rsidR="00BD541A">
        <w:rPr>
          <w:lang w:bidi="fa-IR"/>
        </w:rPr>
        <w:t xml:space="preserve"> assumptions, and thus generate </w:t>
      </w:r>
      <w:r>
        <w:rPr>
          <w:lang w:bidi="fa-IR"/>
        </w:rPr>
        <w:t xml:space="preserve">different estimates </w:t>
      </w:r>
      <w:r w:rsidR="00CE4FA7">
        <w:rPr>
          <w:lang w:bidi="fa-IR"/>
        </w:rPr>
        <w:t xml:space="preserve">of the </w:t>
      </w:r>
      <w:r w:rsidR="00CE4FA7">
        <w:rPr>
          <w:i/>
          <w:lang w:bidi="fa-IR"/>
        </w:rPr>
        <w:t>level</w:t>
      </w:r>
      <w:r w:rsidR="00CE4FA7">
        <w:rPr>
          <w:lang w:bidi="fa-IR"/>
        </w:rPr>
        <w:t xml:space="preserve"> of costs associated with emissions reduction. For example, given emissions reduction </w:t>
      </w:r>
      <w:r w:rsidR="00BD541A">
        <w:rPr>
          <w:lang w:bidi="fa-IR"/>
        </w:rPr>
        <w:t xml:space="preserve">of 40 per cent to 80 per cent relative to baseline, the cost curve derived from </w:t>
      </w:r>
      <w:r w:rsidR="00A420DC">
        <w:rPr>
          <w:lang w:bidi="fa-IR"/>
        </w:rPr>
        <w:t>DELWP</w:t>
      </w:r>
      <w:r w:rsidR="00BD541A">
        <w:rPr>
          <w:lang w:bidi="fa-IR"/>
        </w:rPr>
        <w:t xml:space="preserve"> 2016 implies </w:t>
      </w:r>
      <w:r w:rsidR="00242E53">
        <w:rPr>
          <w:lang w:bidi="fa-IR"/>
        </w:rPr>
        <w:t>GSI will be around</w:t>
      </w:r>
      <w:r w:rsidR="00BD541A">
        <w:rPr>
          <w:lang w:bidi="fa-IR"/>
        </w:rPr>
        <w:t xml:space="preserve"> 0.5 per cent to 1.0 per cent </w:t>
      </w:r>
      <w:r w:rsidR="00242E53">
        <w:rPr>
          <w:lang w:bidi="fa-IR"/>
        </w:rPr>
        <w:t xml:space="preserve">below baseline </w:t>
      </w:r>
      <w:r w:rsidR="00BD541A">
        <w:rPr>
          <w:lang w:bidi="fa-IR"/>
        </w:rPr>
        <w:t>(i.e. in each year where emissions are lower than baseline by 40 per cent to 80 per cent, GSI is lower than baseline by 0.5 per cent to 1 per cent</w:t>
      </w:r>
      <w:r w:rsidR="00242E53">
        <w:rPr>
          <w:lang w:bidi="fa-IR"/>
        </w:rPr>
        <w:t>)</w:t>
      </w:r>
      <w:r w:rsidR="00BD541A">
        <w:rPr>
          <w:lang w:bidi="fa-IR"/>
        </w:rPr>
        <w:t>. However, according to results published in CSIRO 2015, this cost is around 3 per cent to 3.5 per cent of GSI</w:t>
      </w:r>
      <w:r w:rsidR="00242E53">
        <w:rPr>
          <w:lang w:bidi="fa-IR"/>
        </w:rPr>
        <w:t xml:space="preserve"> (see Chart </w:t>
      </w:r>
      <w:r w:rsidR="00242E53">
        <w:rPr>
          <w:lang w:bidi="fa-IR"/>
        </w:rPr>
        <w:fldChar w:fldCharType="begin"/>
      </w:r>
      <w:r w:rsidR="00242E53">
        <w:rPr>
          <w:lang w:bidi="fa-IR"/>
        </w:rPr>
        <w:instrText xml:space="preserve"> REF _Caption0080 </w:instrText>
      </w:r>
      <w:r w:rsidR="00242E53">
        <w:rPr>
          <w:lang w:bidi="fa-IR"/>
        </w:rPr>
        <w:fldChar w:fldCharType="separate"/>
      </w:r>
      <w:r w:rsidR="00ED1D13">
        <w:rPr>
          <w:noProof/>
        </w:rPr>
        <w:t>3</w:t>
      </w:r>
      <w:r w:rsidR="00ED1D13" w:rsidRPr="00695C93">
        <w:rPr>
          <w:noProof/>
        </w:rPr>
        <w:t>.</w:t>
      </w:r>
      <w:r w:rsidR="00ED1D13">
        <w:rPr>
          <w:noProof/>
        </w:rPr>
        <w:t>3</w:t>
      </w:r>
      <w:r w:rsidR="00242E53">
        <w:rPr>
          <w:lang w:bidi="fa-IR"/>
        </w:rPr>
        <w:fldChar w:fldCharType="end"/>
      </w:r>
      <w:r w:rsidR="00242E53">
        <w:rPr>
          <w:lang w:bidi="fa-IR"/>
        </w:rPr>
        <w:t>)</w:t>
      </w:r>
      <w:r w:rsidR="00BD541A">
        <w:rPr>
          <w:lang w:bidi="fa-IR"/>
        </w:rPr>
        <w:t>.</w:t>
      </w:r>
      <w:r w:rsidR="00FA0A4F">
        <w:rPr>
          <w:lang w:bidi="fa-IR"/>
        </w:rPr>
        <w:t xml:space="preserve"> The results from </w:t>
      </w:r>
      <w:r w:rsidR="00FA0A4F">
        <w:t xml:space="preserve">Treasury &amp; DIICSTRE 2013 sit between these two for abatement up to around 40 per </w:t>
      </w:r>
      <w:proofErr w:type="gramStart"/>
      <w:r w:rsidR="00FA0A4F">
        <w:t>cent, but</w:t>
      </w:r>
      <w:proofErr w:type="gramEnd"/>
      <w:r w:rsidR="00FA0A4F">
        <w:t xml:space="preserve"> increases rapidly after that.</w:t>
      </w:r>
    </w:p>
    <w:p w14:paraId="0437F377" w14:textId="0F43086C" w:rsidR="00242E53" w:rsidRDefault="00E53959" w:rsidP="00242E53">
      <w:pPr>
        <w:pStyle w:val="BodyText"/>
        <w:rPr>
          <w:lang w:bidi="fa-IR"/>
        </w:rPr>
      </w:pPr>
      <w:r>
        <w:rPr>
          <w:lang w:bidi="fa-IR"/>
        </w:rPr>
        <w:t xml:space="preserve">As we will argue below, the slope or steepness of the cost curve </w:t>
      </w:r>
      <w:r w:rsidR="00FA0A4F">
        <w:rPr>
          <w:lang w:bidi="fa-IR"/>
        </w:rPr>
        <w:t xml:space="preserve">is key for understanding the relative effects of different abatement timing. </w:t>
      </w:r>
    </w:p>
    <w:p w14:paraId="10C21C73" w14:textId="648B26E8" w:rsidR="004A0276" w:rsidRPr="00695C93" w:rsidRDefault="004A0276" w:rsidP="004A0276">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3</w:instrText>
      </w:r>
      <w:r w:rsidRPr="00695C93">
        <w:fldChar w:fldCharType="end"/>
      </w:r>
      <w:r w:rsidRPr="00695C93">
        <w:instrText xml:space="preserve">" "" </w:instrText>
      </w:r>
      <w:r w:rsidRPr="00695C93">
        <w:fldChar w:fldCharType="separate"/>
      </w:r>
      <w:bookmarkStart w:id="98" w:name="_Caption8720"/>
      <w:bookmarkStart w:id="99" w:name="_Caption1312"/>
      <w:bookmarkStart w:id="100" w:name="_Caption4701"/>
      <w:bookmarkStart w:id="101" w:name="_Caption5201"/>
      <w:bookmarkStart w:id="102" w:name="_Caption5899"/>
      <w:bookmarkStart w:id="103" w:name="_Caption3319"/>
      <w:bookmarkStart w:id="104" w:name="_Caption5628"/>
      <w:bookmarkStart w:id="105" w:name="_Caption7216"/>
      <w:bookmarkStart w:id="106" w:name="_Caption5905"/>
      <w:bookmarkStart w:id="107" w:name="_Caption6373"/>
      <w:bookmarkStart w:id="108" w:name="_Caption5662"/>
      <w:bookmarkStart w:id="109" w:name="_Caption5021"/>
      <w:bookmarkStart w:id="110" w:name="_Caption5786"/>
      <w:bookmarkStart w:id="111" w:name="_Caption0080"/>
      <w:bookmarkStart w:id="112" w:name="_Caption0969"/>
      <w:bookmarkStart w:id="113" w:name="_Caption9305"/>
      <w:bookmarkStart w:id="114" w:name="_Caption3867"/>
      <w:bookmarkStart w:id="115" w:name="_Caption8228"/>
      <w:bookmarkStart w:id="116" w:name="_Caption7963"/>
      <w:bookmarkStart w:id="117" w:name="_Caption6747"/>
      <w:bookmarkStart w:id="118" w:name="_Caption3275"/>
      <w:bookmarkStart w:id="119" w:name="_Caption1621"/>
      <w:bookmarkStart w:id="120" w:name="_Caption6278"/>
      <w:bookmarkStart w:id="121" w:name="_Caption8748"/>
      <w:bookmarkStart w:id="122" w:name="_Caption6277"/>
      <w:bookmarkStart w:id="123" w:name="_Caption3872"/>
      <w:bookmarkStart w:id="124" w:name="_Caption1263"/>
      <w:bookmarkStart w:id="125" w:name="_Caption6853"/>
      <w:bookmarkStart w:id="126" w:name="_Caption3340"/>
      <w:bookmarkStart w:id="127" w:name="_Toc9778471"/>
      <w:r w:rsidR="008A2B2B">
        <w:rPr>
          <w:noProof/>
        </w:rPr>
        <w:t>3</w:t>
      </w:r>
      <w:r w:rsidR="008A2B2B" w:rsidRPr="00695C93">
        <w:rPr>
          <w:noProof/>
        </w:rPr>
        <w:t>.</w:t>
      </w:r>
      <w:r w:rsidR="008A2B2B">
        <w:rPr>
          <w:noProof/>
        </w:rPr>
        <w:t>3</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695C93">
        <w:fldChar w:fldCharType="end"/>
      </w:r>
      <w:r w:rsidRPr="00695C93">
        <w:tab/>
      </w:r>
      <w:r>
        <w:t>Cost curves for the reduction of emissions</w:t>
      </w:r>
      <w:bookmarkEnd w:id="127"/>
      <w:r>
        <w:t xml:space="preserve"> </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4A0276" w14:paraId="3FE950C7" w14:textId="77777777" w:rsidTr="000C6F31">
        <w:trPr>
          <w:cantSplit/>
        </w:trPr>
        <w:tc>
          <w:tcPr>
            <w:tcW w:w="7938" w:type="dxa"/>
            <w:shd w:val="clear" w:color="auto" w:fill="E9E8E5" w:themeFill="background2"/>
          </w:tcPr>
          <w:p w14:paraId="01CA108B" w14:textId="2E848F6A" w:rsidR="004A0276" w:rsidRDefault="001409F4" w:rsidP="000C6F31">
            <w:pPr>
              <w:pStyle w:val="Chart"/>
            </w:pPr>
            <w:r w:rsidRPr="001409F4">
              <w:rPr>
                <w:noProof/>
              </w:rPr>
              <w:drawing>
                <wp:inline distT="0" distB="0" distL="0" distR="0" wp14:anchorId="77F0A7BC" wp14:editId="79257EF6">
                  <wp:extent cx="4959350" cy="237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9350" cy="2374900"/>
                          </a:xfrm>
                          <a:prstGeom prst="rect">
                            <a:avLst/>
                          </a:prstGeom>
                          <a:noFill/>
                          <a:ln>
                            <a:noFill/>
                          </a:ln>
                        </pic:spPr>
                      </pic:pic>
                    </a:graphicData>
                  </a:graphic>
                </wp:inline>
              </w:drawing>
            </w:r>
          </w:p>
        </w:tc>
      </w:tr>
    </w:tbl>
    <w:p w14:paraId="74CCC98B" w14:textId="77777777" w:rsidR="004A0276" w:rsidRPr="00137443" w:rsidRDefault="004A0276" w:rsidP="004A0276">
      <w:pPr>
        <w:pStyle w:val="Note"/>
      </w:pPr>
      <w:r w:rsidRPr="00A97BEC">
        <w:rPr>
          <w:i/>
        </w:rPr>
        <w:t xml:space="preserve">Note: </w:t>
      </w:r>
      <w:r>
        <w:t>Cost curves express the ‘cost’ (measured as a deviation – a loss - of GSI relative to baseline) given a reduction in emissions relative to baseline.</w:t>
      </w:r>
    </w:p>
    <w:p w14:paraId="6F5CD5E0" w14:textId="77777777" w:rsidR="004A0276" w:rsidRDefault="004A0276" w:rsidP="004A0276">
      <w:pPr>
        <w:pStyle w:val="Source"/>
      </w:pPr>
      <w:r>
        <w:rPr>
          <w:i/>
        </w:rPr>
        <w:t>Data source</w:t>
      </w:r>
      <w:r w:rsidRPr="00A67576">
        <w:rPr>
          <w:i/>
        </w:rPr>
        <w:t>:</w:t>
      </w:r>
      <w:r>
        <w:t xml:space="preserve"> The CIE</w:t>
      </w:r>
    </w:p>
    <w:p w14:paraId="2735FC96" w14:textId="3506436A" w:rsidR="00BD541A" w:rsidRDefault="00BD541A" w:rsidP="00C50EA4">
      <w:pPr>
        <w:pStyle w:val="Heading3"/>
        <w:rPr>
          <w:lang w:bidi="fa-IR"/>
        </w:rPr>
      </w:pPr>
      <w:r>
        <w:rPr>
          <w:lang w:bidi="fa-IR"/>
        </w:rPr>
        <w:t>The steepness of the cost curve</w:t>
      </w:r>
    </w:p>
    <w:p w14:paraId="6C5D0D38" w14:textId="74EB126B" w:rsidR="00CA26E0" w:rsidRDefault="00BD541A" w:rsidP="00606604">
      <w:pPr>
        <w:pStyle w:val="BodyText"/>
        <w:rPr>
          <w:lang w:bidi="fa-IR"/>
        </w:rPr>
      </w:pPr>
      <w:r>
        <w:rPr>
          <w:lang w:bidi="fa-IR"/>
        </w:rPr>
        <w:t xml:space="preserve">Different </w:t>
      </w:r>
      <w:r w:rsidR="00FA0A4F">
        <w:rPr>
          <w:lang w:bidi="fa-IR"/>
        </w:rPr>
        <w:t>studies</w:t>
      </w:r>
      <w:r>
        <w:rPr>
          <w:lang w:bidi="fa-IR"/>
        </w:rPr>
        <w:t xml:space="preserve"> make different modelling assumptions, and thus generate different estimates of the </w:t>
      </w:r>
      <w:r>
        <w:rPr>
          <w:i/>
          <w:lang w:bidi="fa-IR"/>
        </w:rPr>
        <w:t xml:space="preserve">steepness </w:t>
      </w:r>
      <w:r>
        <w:rPr>
          <w:lang w:bidi="fa-IR"/>
        </w:rPr>
        <w:t xml:space="preserve">or </w:t>
      </w:r>
      <w:r>
        <w:rPr>
          <w:i/>
          <w:lang w:bidi="fa-IR"/>
        </w:rPr>
        <w:t>slope</w:t>
      </w:r>
      <w:r>
        <w:rPr>
          <w:i/>
        </w:rPr>
        <w:t xml:space="preserve"> </w:t>
      </w:r>
      <w:r>
        <w:t xml:space="preserve">of the cost curve. For example, if you increase emissions reduction over time from 0 per cent to around 50 per cent (compared to baseline), the impact on GSI increases relatively sharply from 0 per cent to between 1 and 3 per cent, according to results published in Treasury &amp; DIICSTRE </w:t>
      </w:r>
      <w:r w:rsidR="00DA28B8">
        <w:t>2013</w:t>
      </w:r>
      <w:r>
        <w:t xml:space="preserve">. The cost curve is much </w:t>
      </w:r>
      <w:r w:rsidR="006068BD">
        <w:t>flatter</w:t>
      </w:r>
      <w:r>
        <w:t xml:space="preserve"> according to </w:t>
      </w:r>
      <w:r w:rsidR="00A420DC">
        <w:t>DELWP</w:t>
      </w:r>
      <w:r>
        <w:t xml:space="preserve"> 2016: the loss of GSI increases to around only 0.5</w:t>
      </w:r>
      <w:r w:rsidR="004522BD">
        <w:t xml:space="preserve"> per cent of GSI (for the same reduction in emissions).</w:t>
      </w:r>
      <w:r w:rsidR="00C50EA4">
        <w:t xml:space="preserve"> </w:t>
      </w:r>
    </w:p>
    <w:p w14:paraId="0A70FE3E" w14:textId="50CAA9DD" w:rsidR="00C50EA4" w:rsidRDefault="00C50EA4" w:rsidP="00606604">
      <w:pPr>
        <w:pStyle w:val="BodyText"/>
        <w:rPr>
          <w:lang w:bidi="fa-IR"/>
        </w:rPr>
      </w:pPr>
      <w:r>
        <w:rPr>
          <w:lang w:bidi="fa-IR"/>
        </w:rPr>
        <w:t xml:space="preserve">All modelling assumptions made by the respective </w:t>
      </w:r>
      <w:r w:rsidR="00222ACD">
        <w:rPr>
          <w:lang w:bidi="fa-IR"/>
        </w:rPr>
        <w:t>studies</w:t>
      </w:r>
      <w:r>
        <w:rPr>
          <w:lang w:bidi="fa-IR"/>
        </w:rPr>
        <w:t xml:space="preserve"> contribute to this </w:t>
      </w:r>
      <w:r w:rsidR="006068BD">
        <w:rPr>
          <w:lang w:bidi="fa-IR"/>
        </w:rPr>
        <w:t>difference in the slope of the cost curve</w:t>
      </w:r>
      <w:r>
        <w:rPr>
          <w:lang w:bidi="fa-IR"/>
        </w:rPr>
        <w:t xml:space="preserve">. </w:t>
      </w:r>
      <w:r w:rsidR="00222ACD">
        <w:rPr>
          <w:lang w:bidi="fa-IR"/>
        </w:rPr>
        <w:t>W</w:t>
      </w:r>
      <w:r>
        <w:rPr>
          <w:lang w:bidi="fa-IR"/>
        </w:rPr>
        <w:t>e</w:t>
      </w:r>
      <w:r w:rsidR="00222ACD">
        <w:rPr>
          <w:lang w:bidi="fa-IR"/>
        </w:rPr>
        <w:t xml:space="preserve"> can</w:t>
      </w:r>
      <w:r>
        <w:rPr>
          <w:lang w:bidi="fa-IR"/>
        </w:rPr>
        <w:t xml:space="preserve"> make following comments based on the available information.</w:t>
      </w:r>
    </w:p>
    <w:p w14:paraId="1FCF410F" w14:textId="2F697504" w:rsidR="00C50EA4" w:rsidRDefault="006068BD" w:rsidP="003D5537">
      <w:pPr>
        <w:pStyle w:val="Heading4"/>
        <w:numPr>
          <w:ilvl w:val="0"/>
          <w:numId w:val="0"/>
        </w:numPr>
        <w:rPr>
          <w:lang w:bidi="fa-IR"/>
        </w:rPr>
      </w:pPr>
      <w:r>
        <w:rPr>
          <w:lang w:bidi="fa-IR"/>
        </w:rPr>
        <w:t>T</w:t>
      </w:r>
      <w:r w:rsidR="001D2132">
        <w:rPr>
          <w:lang w:bidi="fa-IR"/>
        </w:rPr>
        <w:t xml:space="preserve">he </w:t>
      </w:r>
      <w:r>
        <w:rPr>
          <w:lang w:bidi="fa-IR"/>
        </w:rPr>
        <w:t xml:space="preserve">effect of the carbon price </w:t>
      </w:r>
      <w:r w:rsidR="001D2132">
        <w:rPr>
          <w:lang w:bidi="fa-IR"/>
        </w:rPr>
        <w:t>vs exogenous emissions reduction</w:t>
      </w:r>
    </w:p>
    <w:p w14:paraId="3FD21828" w14:textId="7A29F812" w:rsidR="001F27CA" w:rsidRDefault="006068BD" w:rsidP="001F27CA">
      <w:pPr>
        <w:pStyle w:val="BodyText"/>
      </w:pPr>
      <w:r>
        <w:rPr>
          <w:lang w:bidi="fa-IR"/>
        </w:rPr>
        <w:t xml:space="preserve">The key to different slopes of the cost curve lies in how the CGE models operate and the assumptions made </w:t>
      </w:r>
      <w:r w:rsidR="004813BC">
        <w:rPr>
          <w:lang w:bidi="fa-IR"/>
        </w:rPr>
        <w:t xml:space="preserve">by </w:t>
      </w:r>
      <w:r>
        <w:rPr>
          <w:lang w:bidi="fa-IR"/>
        </w:rPr>
        <w:t xml:space="preserve">the modellers. </w:t>
      </w:r>
      <w:r w:rsidR="004522BD">
        <w:t xml:space="preserve">CGE models </w:t>
      </w:r>
      <w:r w:rsidR="001F27CA">
        <w:t xml:space="preserve">are used by economists to </w:t>
      </w:r>
      <w:r w:rsidR="004522BD">
        <w:t xml:space="preserve">estimate how the level of measured economic activity changes </w:t>
      </w:r>
      <w:proofErr w:type="gramStart"/>
      <w:r w:rsidR="004522BD">
        <w:t>as a result of</w:t>
      </w:r>
      <w:proofErr w:type="gramEnd"/>
      <w:r w:rsidR="004522BD">
        <w:t xml:space="preserve"> changes in relative prices (as changes in relative prices cause the allocation of resources to change, and this causes measured activity to change)</w:t>
      </w:r>
      <w:r w:rsidR="001F27CA">
        <w:t xml:space="preserve">. In climate change analysis, </w:t>
      </w:r>
      <w:r w:rsidR="00BD541A">
        <w:t xml:space="preserve">the change in relative prices is driven by the </w:t>
      </w:r>
      <w:r w:rsidR="001F27CA">
        <w:t>imposition of a carbon price.</w:t>
      </w:r>
    </w:p>
    <w:p w14:paraId="1C0B76C9" w14:textId="22E63FAF" w:rsidR="001F27CA" w:rsidRDefault="001F27CA" w:rsidP="001F27CA">
      <w:pPr>
        <w:pStyle w:val="BodyText"/>
      </w:pPr>
      <w:r>
        <w:t xml:space="preserve">In the Treasury &amp; </w:t>
      </w:r>
      <w:r w:rsidR="002B07A3">
        <w:t>DIICSTRE</w:t>
      </w:r>
      <w:r>
        <w:t xml:space="preserve"> </w:t>
      </w:r>
      <w:r w:rsidR="00DA28B8">
        <w:t>2013</w:t>
      </w:r>
      <w:r>
        <w:t xml:space="preserve"> results, the carbon price essentially acts to reduce emissions </w:t>
      </w:r>
      <w:r w:rsidR="00E70072">
        <w:t>using only the response parameters within the model</w:t>
      </w:r>
      <w:r>
        <w:t xml:space="preserve">. </w:t>
      </w:r>
    </w:p>
    <w:p w14:paraId="1CB6FDD3" w14:textId="77777777" w:rsidR="004A0276" w:rsidRDefault="001F27CA" w:rsidP="001F27CA">
      <w:pPr>
        <w:pStyle w:val="ListBullet"/>
      </w:pPr>
      <w:r>
        <w:t>For low amounts of emissions reduction, relatively easy (or cheap) abatement projects are undertaken. The result is that low levels of emissions reduction require a low carbon price and thus result in modest re-allocations of resourc</w:t>
      </w:r>
      <w:r w:rsidR="004A0276">
        <w:t xml:space="preserve">es. Therefore, low levels of emissions abatement result in </w:t>
      </w:r>
      <w:r>
        <w:t xml:space="preserve">modest economic </w:t>
      </w:r>
      <w:r w:rsidR="004A0276">
        <w:t>losses.</w:t>
      </w:r>
    </w:p>
    <w:p w14:paraId="3F37DCEA" w14:textId="5EDCD4D0" w:rsidR="001F27CA" w:rsidRDefault="004A0276" w:rsidP="001F27CA">
      <w:pPr>
        <w:pStyle w:val="ListBullet"/>
      </w:pPr>
      <w:r>
        <w:lastRenderedPageBreak/>
        <w:t>At</w:t>
      </w:r>
      <w:r w:rsidR="001F27CA">
        <w:t xml:space="preserve"> large</w:t>
      </w:r>
      <w:r>
        <w:t>r</w:t>
      </w:r>
      <w:r w:rsidR="001F27CA">
        <w:t xml:space="preserve"> amounts of emissions reduction, </w:t>
      </w:r>
      <w:r>
        <w:t xml:space="preserve">the easy opportunities have been exhausted, and thus </w:t>
      </w:r>
      <w:r w:rsidR="001F27CA">
        <w:t>relatively difficult (</w:t>
      </w:r>
      <w:r>
        <w:t>and</w:t>
      </w:r>
      <w:r w:rsidR="001F27CA">
        <w:t xml:space="preserve"> expensive) </w:t>
      </w:r>
      <w:r>
        <w:t>emissions reducing</w:t>
      </w:r>
      <w:r w:rsidR="001F27CA">
        <w:t xml:space="preserve"> projects </w:t>
      </w:r>
      <w:r>
        <w:t>must be undertaken. The result i</w:t>
      </w:r>
      <w:r w:rsidR="001F27CA">
        <w:t xml:space="preserve">s that high levels of emissions reduction require a </w:t>
      </w:r>
      <w:r>
        <w:t xml:space="preserve">high carbon price. Therefore, higher levels of emissions reduction result in </w:t>
      </w:r>
      <w:r w:rsidR="001F27CA">
        <w:t>large</w:t>
      </w:r>
      <w:r>
        <w:t>r</w:t>
      </w:r>
      <w:r w:rsidR="001F27CA">
        <w:t xml:space="preserve"> r</w:t>
      </w:r>
      <w:r>
        <w:t>e-allocations of resources and drive</w:t>
      </w:r>
      <w:r w:rsidR="001F27CA">
        <w:t xml:space="preserve"> larger economic impacts.</w:t>
      </w:r>
    </w:p>
    <w:p w14:paraId="27F920A7" w14:textId="5FE45421" w:rsidR="001F27CA" w:rsidRDefault="001F27CA" w:rsidP="001F27CA">
      <w:pPr>
        <w:pStyle w:val="ListBullet"/>
      </w:pPr>
      <w:r>
        <w:t xml:space="preserve">The overall result is a cost curve that tends to </w:t>
      </w:r>
      <w:r w:rsidR="00B2224C">
        <w:t xml:space="preserve">become steeper </w:t>
      </w:r>
      <w:r w:rsidR="004A0276">
        <w:t xml:space="preserve">as emission reduction increases (as </w:t>
      </w:r>
      <w:r w:rsidR="006068BD">
        <w:t>shown above</w:t>
      </w:r>
      <w:r w:rsidR="004A0276">
        <w:t>).</w:t>
      </w:r>
    </w:p>
    <w:p w14:paraId="0B23B65B" w14:textId="0E6E3C6D" w:rsidR="00B2224C" w:rsidRDefault="003A3CC8" w:rsidP="00131ADA">
      <w:pPr>
        <w:pStyle w:val="BodyText"/>
      </w:pPr>
      <w:r>
        <w:t>A much flatter cost curve arises through making different assumptions. For example, it can be</w:t>
      </w:r>
      <w:r w:rsidR="00131ADA">
        <w:t xml:space="preserve"> assume</w:t>
      </w:r>
      <w:r>
        <w:t>d</w:t>
      </w:r>
      <w:r w:rsidR="00131ADA">
        <w:t xml:space="preserve"> </w:t>
      </w:r>
      <w:r>
        <w:t xml:space="preserve">that </w:t>
      </w:r>
      <w:r w:rsidR="00131ADA">
        <w:t xml:space="preserve">the </w:t>
      </w:r>
      <w:r w:rsidR="0094294C">
        <w:t xml:space="preserve">emission reducing impact of the </w:t>
      </w:r>
      <w:r w:rsidR="001F27CA">
        <w:t xml:space="preserve">carbon price is </w:t>
      </w:r>
      <w:r w:rsidR="0094294C">
        <w:t xml:space="preserve">significantly </w:t>
      </w:r>
      <w:r w:rsidR="001F27CA">
        <w:t xml:space="preserve">helped </w:t>
      </w:r>
      <w:r w:rsidR="0094294C">
        <w:t xml:space="preserve">by </w:t>
      </w:r>
      <w:r w:rsidR="00B2224C">
        <w:t>other tr</w:t>
      </w:r>
      <w:r w:rsidR="0094294C">
        <w:t>ends</w:t>
      </w:r>
      <w:r w:rsidR="00E70072">
        <w:t xml:space="preserve"> not captured </w:t>
      </w:r>
      <w:r w:rsidR="00E70072" w:rsidRPr="003A3CC8">
        <w:rPr>
          <w:i/>
        </w:rPr>
        <w:t>within</w:t>
      </w:r>
      <w:r w:rsidR="00E70072">
        <w:t xml:space="preserve"> the model and</w:t>
      </w:r>
      <w:r w:rsidR="00B2224C">
        <w:t xml:space="preserve"> which are </w:t>
      </w:r>
      <w:r w:rsidR="006068BD">
        <w:t xml:space="preserve">imposed on the model </w:t>
      </w:r>
      <w:r w:rsidR="00B2224C">
        <w:t>exogenous</w:t>
      </w:r>
      <w:r w:rsidR="006068BD">
        <w:t xml:space="preserve">ly. These exogenous </w:t>
      </w:r>
      <w:r>
        <w:t>factors</w:t>
      </w:r>
      <w:r w:rsidR="006068BD">
        <w:t xml:space="preserve"> </w:t>
      </w:r>
      <w:r w:rsidR="00B2224C">
        <w:t xml:space="preserve">reduce the steepness of the cost curve </w:t>
      </w:r>
      <w:r>
        <w:t xml:space="preserve">in </w:t>
      </w:r>
      <w:proofErr w:type="gramStart"/>
      <w:r>
        <w:t>a number of</w:t>
      </w:r>
      <w:proofErr w:type="gramEnd"/>
      <w:r>
        <w:t xml:space="preserve"> ways</w:t>
      </w:r>
      <w:r w:rsidR="00B2224C">
        <w:t>.</w:t>
      </w:r>
    </w:p>
    <w:p w14:paraId="2FA15DF3" w14:textId="4ABDA72B" w:rsidR="0094294C" w:rsidRDefault="0094294C" w:rsidP="008B749D">
      <w:pPr>
        <w:pStyle w:val="ListBullet"/>
      </w:pPr>
      <w:r>
        <w:t>‘</w:t>
      </w:r>
      <w:r w:rsidR="00A65B8A">
        <w:t>E</w:t>
      </w:r>
      <w:r>
        <w:t>nergy efficiency’ (or ‘no regrets’</w:t>
      </w:r>
      <w:r w:rsidR="00A65B8A">
        <w:t>)</w:t>
      </w:r>
      <w:r>
        <w:t xml:space="preserve"> </w:t>
      </w:r>
      <w:r w:rsidR="00104B68">
        <w:t>trends</w:t>
      </w:r>
      <w:r>
        <w:t xml:space="preserve"> </w:t>
      </w:r>
      <w:r w:rsidR="00A65B8A">
        <w:t xml:space="preserve">can be captured within the policy scenario in addition to anything in the baseline. </w:t>
      </w:r>
      <w:r w:rsidR="00104B68">
        <w:t xml:space="preserve">These </w:t>
      </w:r>
      <w:r w:rsidR="006068BD">
        <w:t xml:space="preserve">energy efficiency </w:t>
      </w:r>
      <w:r w:rsidR="00104B68">
        <w:t>trends see the energy intensity of normal household and business activities decline over time</w:t>
      </w:r>
      <w:r w:rsidR="00A65B8A">
        <w:t xml:space="preserve"> — reducing emissions in the scenario relative to the baseline</w:t>
      </w:r>
      <w:r>
        <w:t>.</w:t>
      </w:r>
      <w:r w:rsidR="008C4991">
        <w:t xml:space="preserve"> </w:t>
      </w:r>
    </w:p>
    <w:p w14:paraId="5D14C35E" w14:textId="77777777" w:rsidR="00A65B8A" w:rsidRDefault="00A65B8A" w:rsidP="0094294C">
      <w:pPr>
        <w:pStyle w:val="ListBullet"/>
      </w:pPr>
      <w:r>
        <w:t>These additional factors include</w:t>
      </w:r>
      <w:r w:rsidR="0094294C">
        <w:t xml:space="preserve">: </w:t>
      </w:r>
    </w:p>
    <w:p w14:paraId="7AF02B29" w14:textId="26E5592C" w:rsidR="00A65B8A" w:rsidRDefault="0094294C" w:rsidP="00A65B8A">
      <w:pPr>
        <w:pStyle w:val="ListBullet2"/>
      </w:pPr>
      <w:r>
        <w:t>transport electrification,</w:t>
      </w:r>
    </w:p>
    <w:p w14:paraId="61CE3A07" w14:textId="1ABF31FB" w:rsidR="00A65B8A" w:rsidRDefault="0094294C" w:rsidP="00A65B8A">
      <w:pPr>
        <w:pStyle w:val="ListBullet2"/>
      </w:pPr>
      <w:r>
        <w:t xml:space="preserve">reductions in non-combustion emissions (e.g. agriculture, industry, etc.) and </w:t>
      </w:r>
    </w:p>
    <w:p w14:paraId="204F68FA" w14:textId="0E051471" w:rsidR="0094294C" w:rsidRDefault="0094294C" w:rsidP="00A65B8A">
      <w:pPr>
        <w:pStyle w:val="ListBullet2"/>
      </w:pPr>
      <w:r>
        <w:t>forestry sequestration.</w:t>
      </w:r>
      <w:r w:rsidR="00E02BC8">
        <w:t xml:space="preserve"> </w:t>
      </w:r>
    </w:p>
    <w:p w14:paraId="0224CF37" w14:textId="6AA3BE07" w:rsidR="006068BD" w:rsidRDefault="006068BD" w:rsidP="00104B68">
      <w:pPr>
        <w:pStyle w:val="ListBullet"/>
      </w:pPr>
      <w:r>
        <w:t>T</w:t>
      </w:r>
      <w:r w:rsidR="0094294C">
        <w:t xml:space="preserve">hese trends </w:t>
      </w:r>
      <w:r>
        <w:t>(energy efficiency and additional trends) are imposed on the model exogenously. They reduce emissions in the scenarios but not in the baseline (by assumption) without the imposition of a carbon tax.</w:t>
      </w:r>
    </w:p>
    <w:p w14:paraId="0AD10CA9" w14:textId="77777777" w:rsidR="006068BD" w:rsidRDefault="006068BD" w:rsidP="00104B68">
      <w:pPr>
        <w:pStyle w:val="ListBullet"/>
      </w:pPr>
      <w:r>
        <w:t>Because these trends reduce emissions without the imposition of a carbon tax, there is no change in relative prices, and thus no economic loss.</w:t>
      </w:r>
    </w:p>
    <w:p w14:paraId="09EAF574" w14:textId="0C59D581" w:rsidR="0001079A" w:rsidRDefault="00A65B8A" w:rsidP="00104B68">
      <w:pPr>
        <w:pStyle w:val="ListBullet"/>
      </w:pPr>
      <w:r>
        <w:t>The practical effect of this is to produce a ‘flat’ cost curve.</w:t>
      </w:r>
    </w:p>
    <w:p w14:paraId="79AC39B5" w14:textId="3385FBF3" w:rsidR="008C4991" w:rsidRDefault="00A65B8A" w:rsidP="0001079A">
      <w:pPr>
        <w:pStyle w:val="ListBullet"/>
        <w:numPr>
          <w:ilvl w:val="0"/>
          <w:numId w:val="0"/>
        </w:numPr>
      </w:pPr>
      <w:r>
        <w:t>These sorts of adjustments are justified in cases where</w:t>
      </w:r>
      <w:r w:rsidR="006068BD">
        <w:t xml:space="preserve"> </w:t>
      </w:r>
      <w:r w:rsidR="008C4991">
        <w:t xml:space="preserve">CGE models do not fully capture the response of the economy to the imposition of a carbon price. </w:t>
      </w:r>
    </w:p>
    <w:p w14:paraId="396B0103" w14:textId="2F120323" w:rsidR="00D33F95" w:rsidRDefault="00A65B8A" w:rsidP="00D86D4B">
      <w:pPr>
        <w:pStyle w:val="BodyText"/>
      </w:pPr>
      <w:r>
        <w:t>We</w:t>
      </w:r>
      <w:r w:rsidR="00D86D4B">
        <w:t xml:space="preserve"> consider the cost curves derived from these two studies give a reasonable range for costs</w:t>
      </w:r>
      <w:r w:rsidR="00D33F95">
        <w:t>, given the purposes of this report.</w:t>
      </w:r>
    </w:p>
    <w:p w14:paraId="4ED9C000" w14:textId="19125CDE" w:rsidR="00A51079" w:rsidRDefault="006068BD" w:rsidP="00A51079">
      <w:pPr>
        <w:pStyle w:val="Heading4"/>
      </w:pPr>
      <w:r>
        <w:t>A basic narrative on the cost curves</w:t>
      </w:r>
    </w:p>
    <w:p w14:paraId="238F7C80" w14:textId="7D78EFB8" w:rsidR="003A3771" w:rsidRDefault="003A3771" w:rsidP="005C0298">
      <w:pPr>
        <w:pStyle w:val="BodyText"/>
      </w:pPr>
      <w:r>
        <w:t xml:space="preserve">The two separate cost curves </w:t>
      </w:r>
      <w:r w:rsidR="00551404">
        <w:t>(</w:t>
      </w:r>
      <w:r w:rsidR="00A65B8A">
        <w:t>steep versus flat</w:t>
      </w:r>
      <w:r w:rsidR="00551404">
        <w:t xml:space="preserve">) </w:t>
      </w:r>
      <w:r>
        <w:t xml:space="preserve">present alterative narratives </w:t>
      </w:r>
      <w:r w:rsidR="00551404">
        <w:t>for emissions reduction efforts in Victoria.</w:t>
      </w:r>
    </w:p>
    <w:p w14:paraId="3BCE7FB4" w14:textId="7A3EFA6E" w:rsidR="00CD4DB1" w:rsidRDefault="00CD4DB1" w:rsidP="005C0298">
      <w:pPr>
        <w:pStyle w:val="BodyText"/>
      </w:pPr>
      <w:r>
        <w:t>Accepting the steeper cost curve is consistent with thinking:</w:t>
      </w:r>
    </w:p>
    <w:p w14:paraId="3D262A8F" w14:textId="7F2A6126" w:rsidR="00CD4DB1" w:rsidRDefault="00CD4DB1" w:rsidP="00CD4DB1">
      <w:pPr>
        <w:pStyle w:val="ListBullet"/>
      </w:pPr>
      <w:r>
        <w:t xml:space="preserve">the mechanisms implicit in CGE models do a reasonable job of capturing change in the </w:t>
      </w:r>
      <w:r w:rsidR="006007DC">
        <w:t>Victorian</w:t>
      </w:r>
      <w:r>
        <w:t xml:space="preserve"> economy, and</w:t>
      </w:r>
    </w:p>
    <w:p w14:paraId="2133BC74" w14:textId="17036CCD" w:rsidR="00CD4DB1" w:rsidRDefault="006007DC" w:rsidP="00CD4DB1">
      <w:pPr>
        <w:pStyle w:val="ListBullet"/>
      </w:pPr>
      <w:r>
        <w:t xml:space="preserve">in general, </w:t>
      </w:r>
      <w:r w:rsidR="00CD4DB1">
        <w:t xml:space="preserve">changes in behaviour result </w:t>
      </w:r>
      <w:r w:rsidR="004426FA">
        <w:t>from</w:t>
      </w:r>
      <w:r w:rsidR="00CD4DB1">
        <w:t xml:space="preserve"> changes </w:t>
      </w:r>
      <w:r>
        <w:t>in</w:t>
      </w:r>
      <w:r w:rsidR="00CD4DB1">
        <w:t xml:space="preserve"> the incentives </w:t>
      </w:r>
      <w:r>
        <w:t xml:space="preserve">faced by </w:t>
      </w:r>
      <w:r w:rsidR="00CD4DB1">
        <w:t>households and businesses.</w:t>
      </w:r>
    </w:p>
    <w:p w14:paraId="29B7A639" w14:textId="00D87ED4" w:rsidR="00CD4DB1" w:rsidRDefault="00CD4DB1" w:rsidP="00CD4DB1">
      <w:pPr>
        <w:pStyle w:val="BodyText"/>
      </w:pPr>
      <w:r>
        <w:t>Accepting the flatter cost curve is consistent with thinking</w:t>
      </w:r>
      <w:r w:rsidR="00DB69D8">
        <w:t xml:space="preserve"> the following points.</w:t>
      </w:r>
    </w:p>
    <w:p w14:paraId="4D45926F" w14:textId="4852D564" w:rsidR="00EA2EC9" w:rsidRDefault="00DB69D8" w:rsidP="00CD4DB1">
      <w:pPr>
        <w:pStyle w:val="ListBullet"/>
      </w:pPr>
      <w:r>
        <w:lastRenderedPageBreak/>
        <w:t xml:space="preserve">CGE modellers have consistently overestimated the level and steepness </w:t>
      </w:r>
      <w:r w:rsidR="00EC3D5B">
        <w:t>of the cost-curve for emissions</w:t>
      </w:r>
    </w:p>
    <w:p w14:paraId="761DF832" w14:textId="1DC63684" w:rsidR="00CD4DB1" w:rsidRDefault="00CD4DB1" w:rsidP="00CD4DB1">
      <w:pPr>
        <w:pStyle w:val="ListBullet"/>
      </w:pPr>
      <w:r>
        <w:t>the costs of emission reductions are endogenous to reduction efforts and policies</w:t>
      </w:r>
    </w:p>
    <w:p w14:paraId="740E0FA4" w14:textId="1BDE4931" w:rsidR="00CD4DB1" w:rsidRDefault="00CD4DB1" w:rsidP="00CD4DB1">
      <w:pPr>
        <w:pStyle w:val="ListBullet2"/>
      </w:pPr>
      <w:r>
        <w:t>for example, the experience of current efforts to reduce emissions in Victoria will lower the costs of future efforts to reduce emissions in Victoria (this is called ‘learning by doing’ in economic jargon</w:t>
      </w:r>
      <w:r w:rsidR="006007DC">
        <w:t>), or</w:t>
      </w:r>
    </w:p>
    <w:p w14:paraId="4779ED93" w14:textId="754E1D2A" w:rsidR="00DB69D8" w:rsidRDefault="006007DC" w:rsidP="00CD4DB1">
      <w:pPr>
        <w:pStyle w:val="ListBullet2"/>
      </w:pPr>
      <w:r>
        <w:t>alternatively</w:t>
      </w:r>
      <w:r w:rsidR="00DB69D8">
        <w:t>, the imposition of emissions reducing policies in Victoria incentivises research which lowers emissio</w:t>
      </w:r>
      <w:r>
        <w:t>ns reductions costs in Victoria.</w:t>
      </w:r>
    </w:p>
    <w:p w14:paraId="3639E4BE" w14:textId="7E995548" w:rsidR="00DB69D8" w:rsidRDefault="00CD4DB1" w:rsidP="00CD4DB1">
      <w:pPr>
        <w:pStyle w:val="ListBullet"/>
      </w:pPr>
      <w:r>
        <w:t xml:space="preserve">The government policies and strategies that are required to facilitate the adoption </w:t>
      </w:r>
      <w:r w:rsidR="00DB69D8">
        <w:t xml:space="preserve">and integration of low emissions technologies into the economy (e.g. planning policies required for afforestation, storage required for renewables, policies that support the integration of electric vehicles into the wider fleet) exist and </w:t>
      </w:r>
      <w:r w:rsidR="006007DC">
        <w:t xml:space="preserve">are </w:t>
      </w:r>
      <w:r w:rsidR="00DB69D8">
        <w:t>of sufficiently high quality to ensure that as adoption rates increase, costs do not increase</w:t>
      </w:r>
      <w:r w:rsidR="00D50CA4">
        <w:t xml:space="preserve"> </w:t>
      </w:r>
      <w:r w:rsidR="006007DC">
        <w:t>disproportionately</w:t>
      </w:r>
      <w:r w:rsidR="00DB69D8">
        <w:t>.</w:t>
      </w:r>
    </w:p>
    <w:p w14:paraId="2B7F5FB2" w14:textId="26D51751" w:rsidR="003443F1" w:rsidRDefault="003443F1" w:rsidP="00F27514">
      <w:pPr>
        <w:pStyle w:val="Heading2"/>
        <w:rPr>
          <w:lang w:bidi="fa-IR"/>
        </w:rPr>
      </w:pPr>
      <w:bookmarkStart w:id="128" w:name="_Toc9778455"/>
      <w:r>
        <w:rPr>
          <w:lang w:bidi="fa-IR"/>
        </w:rPr>
        <w:t>Discount rates</w:t>
      </w:r>
      <w:bookmarkEnd w:id="128"/>
    </w:p>
    <w:p w14:paraId="3CC5D627" w14:textId="71CA573E" w:rsidR="000514ED" w:rsidRDefault="003443F1" w:rsidP="003443F1">
      <w:pPr>
        <w:pStyle w:val="BodyText"/>
        <w:rPr>
          <w:lang w:eastAsia="en-US"/>
        </w:rPr>
      </w:pPr>
      <w:r>
        <w:rPr>
          <w:lang w:eastAsia="en-US"/>
        </w:rPr>
        <w:t>GSI losses (implied by emissions reduction</w:t>
      </w:r>
      <w:r w:rsidR="000514ED">
        <w:rPr>
          <w:lang w:eastAsia="en-US"/>
        </w:rPr>
        <w:t>, across all years</w:t>
      </w:r>
      <w:r>
        <w:rPr>
          <w:lang w:eastAsia="en-US"/>
        </w:rPr>
        <w:t xml:space="preserve">) </w:t>
      </w:r>
      <w:r w:rsidR="00A47BAB">
        <w:rPr>
          <w:lang w:eastAsia="en-US"/>
        </w:rPr>
        <w:t>are</w:t>
      </w:r>
      <w:r w:rsidR="000514ED">
        <w:rPr>
          <w:lang w:eastAsia="en-US"/>
        </w:rPr>
        <w:t xml:space="preserve"> converted into present value terms by discounting. We then add the losses across all years </w:t>
      </w:r>
      <w:r w:rsidR="008855F6">
        <w:rPr>
          <w:lang w:eastAsia="en-US"/>
        </w:rPr>
        <w:t>in</w:t>
      </w:r>
      <w:r w:rsidR="000514ED">
        <w:rPr>
          <w:lang w:eastAsia="en-US"/>
        </w:rPr>
        <w:t xml:space="preserve"> each scenario.</w:t>
      </w:r>
    </w:p>
    <w:p w14:paraId="2CEE5F8E" w14:textId="3AB01E36" w:rsidR="00A47BAB" w:rsidRDefault="0007072A" w:rsidP="003443F1">
      <w:pPr>
        <w:pStyle w:val="BodyText"/>
        <w:rPr>
          <w:lang w:bidi="fa-IR"/>
        </w:rPr>
      </w:pPr>
      <w:r>
        <w:rPr>
          <w:lang w:eastAsia="en-US"/>
        </w:rPr>
        <w:t>There are different views about which discount rate is most appropriate for this type of analysis. To test the importance of the discount rate, we use three</w:t>
      </w:r>
      <w:r w:rsidR="003443F1">
        <w:rPr>
          <w:lang w:eastAsia="en-US"/>
        </w:rPr>
        <w:t xml:space="preserve"> scenarios for the discount rate (1.4 per cent, 4 per cent and 7 per cent). </w:t>
      </w:r>
      <w:r>
        <w:rPr>
          <w:lang w:bidi="fa-IR"/>
        </w:rPr>
        <w:t>T</w:t>
      </w:r>
      <w:r w:rsidR="00A47BAB">
        <w:rPr>
          <w:lang w:bidi="fa-IR"/>
        </w:rPr>
        <w:t xml:space="preserve">he commentary in Table </w:t>
      </w:r>
      <w:r w:rsidR="00A47BAB">
        <w:rPr>
          <w:lang w:bidi="fa-IR"/>
        </w:rPr>
        <w:fldChar w:fldCharType="begin"/>
      </w:r>
      <w:r w:rsidR="00A47BAB">
        <w:rPr>
          <w:lang w:bidi="fa-IR"/>
        </w:rPr>
        <w:instrText xml:space="preserve"> REF _Caption5404 </w:instrText>
      </w:r>
      <w:r w:rsidR="00A47BAB">
        <w:rPr>
          <w:lang w:bidi="fa-IR"/>
        </w:rPr>
        <w:fldChar w:fldCharType="separate"/>
      </w:r>
      <w:r w:rsidR="00ED1D13">
        <w:rPr>
          <w:noProof/>
        </w:rPr>
        <w:t>3</w:t>
      </w:r>
      <w:r w:rsidR="00ED1D13" w:rsidRPr="00695C93">
        <w:rPr>
          <w:noProof/>
        </w:rPr>
        <w:t>.</w:t>
      </w:r>
      <w:r w:rsidR="00ED1D13">
        <w:rPr>
          <w:noProof/>
        </w:rPr>
        <w:t>4</w:t>
      </w:r>
      <w:r w:rsidR="00A47BAB">
        <w:rPr>
          <w:lang w:bidi="fa-IR"/>
        </w:rPr>
        <w:fldChar w:fldCharType="end"/>
      </w:r>
      <w:r w:rsidR="00A47BAB">
        <w:rPr>
          <w:lang w:bidi="fa-IR"/>
        </w:rPr>
        <w:t xml:space="preserve"> on the discount rates </w:t>
      </w:r>
      <w:r>
        <w:rPr>
          <w:lang w:bidi="fa-IR"/>
        </w:rPr>
        <w:t>provides some indication of the basis for different rates</w:t>
      </w:r>
      <w:r w:rsidR="00A47BAB">
        <w:rPr>
          <w:lang w:bidi="fa-IR"/>
        </w:rPr>
        <w:t>.</w:t>
      </w:r>
    </w:p>
    <w:p w14:paraId="2E3AF2CE" w14:textId="5988F585" w:rsidR="00A47BAB" w:rsidRDefault="00A47BAB" w:rsidP="00A47BAB">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fldSimple w:instr=" STYLEREF &quot;Heading 6&quot; \l \n ">
        <w:r w:rsidRPr="00695C93">
          <w:instrText>B</w:instrText>
        </w:r>
      </w:fldSimple>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4</w:instrText>
      </w:r>
      <w:r w:rsidRPr="00695C93">
        <w:fldChar w:fldCharType="end"/>
      </w:r>
      <w:r w:rsidRPr="00695C93">
        <w:instrText xml:space="preserve">" "" </w:instrText>
      </w:r>
      <w:r w:rsidRPr="00695C93">
        <w:fldChar w:fldCharType="separate"/>
      </w:r>
      <w:bookmarkStart w:id="129" w:name="_Caption5404"/>
      <w:bookmarkStart w:id="130" w:name="_Caption2475"/>
      <w:bookmarkStart w:id="131" w:name="_Caption6658"/>
      <w:bookmarkStart w:id="132" w:name="_Caption8887"/>
      <w:bookmarkStart w:id="133" w:name="_Caption0191"/>
      <w:bookmarkStart w:id="134" w:name="_Caption3288"/>
      <w:bookmarkStart w:id="135" w:name="_Caption6356"/>
      <w:bookmarkStart w:id="136" w:name="_Toc9778472"/>
      <w:r w:rsidR="008A2B2B">
        <w:rPr>
          <w:noProof/>
        </w:rPr>
        <w:t>3</w:t>
      </w:r>
      <w:r w:rsidR="008A2B2B" w:rsidRPr="00695C93">
        <w:rPr>
          <w:noProof/>
        </w:rPr>
        <w:t>.</w:t>
      </w:r>
      <w:r w:rsidR="008A2B2B">
        <w:rPr>
          <w:noProof/>
        </w:rPr>
        <w:t>4</w:t>
      </w:r>
      <w:bookmarkEnd w:id="129"/>
      <w:bookmarkEnd w:id="130"/>
      <w:bookmarkEnd w:id="131"/>
      <w:bookmarkEnd w:id="132"/>
      <w:bookmarkEnd w:id="133"/>
      <w:bookmarkEnd w:id="134"/>
      <w:bookmarkEnd w:id="135"/>
      <w:r w:rsidRPr="00695C93">
        <w:fldChar w:fldCharType="end"/>
      </w:r>
      <w:r w:rsidRPr="00695C93">
        <w:tab/>
      </w:r>
      <w:r w:rsidR="0007072A">
        <w:t>Alternative</w:t>
      </w:r>
      <w:r>
        <w:t xml:space="preserve"> discount rates</w:t>
      </w:r>
      <w:bookmarkEnd w:id="136"/>
    </w:p>
    <w:tbl>
      <w:tblPr>
        <w:tblW w:w="0" w:type="auto"/>
        <w:tblLayout w:type="fixed"/>
        <w:tblLook w:val="0000" w:firstRow="0" w:lastRow="0" w:firstColumn="0" w:lastColumn="0" w:noHBand="0" w:noVBand="0"/>
      </w:tblPr>
      <w:tblGrid>
        <w:gridCol w:w="2645"/>
        <w:gridCol w:w="2646"/>
        <w:gridCol w:w="2646"/>
      </w:tblGrid>
      <w:tr w:rsidR="00A47BAB" w14:paraId="1B8660FD" w14:textId="77777777" w:rsidTr="00A47BAB">
        <w:tc>
          <w:tcPr>
            <w:tcW w:w="2645" w:type="dxa"/>
            <w:tcBorders>
              <w:bottom w:val="single" w:sz="8" w:space="0" w:color="FFFFFF" w:themeColor="background1"/>
            </w:tcBorders>
            <w:shd w:val="clear" w:color="auto" w:fill="6F6652"/>
            <w:tcMar>
              <w:left w:w="57" w:type="dxa"/>
              <w:right w:w="57" w:type="dxa"/>
            </w:tcMar>
          </w:tcPr>
          <w:p w14:paraId="373430DF" w14:textId="2AE8D03A" w:rsidR="00A47BAB" w:rsidRDefault="00A47BAB" w:rsidP="00A47BAB">
            <w:pPr>
              <w:pStyle w:val="TableTextColumnHeading"/>
              <w:rPr>
                <w:lang w:bidi="fa-IR"/>
              </w:rPr>
            </w:pPr>
            <w:r>
              <w:rPr>
                <w:lang w:bidi="fa-IR"/>
              </w:rPr>
              <w:t>1.4 per cent</w:t>
            </w:r>
          </w:p>
        </w:tc>
        <w:tc>
          <w:tcPr>
            <w:tcW w:w="2646" w:type="dxa"/>
            <w:tcBorders>
              <w:bottom w:val="single" w:sz="8" w:space="0" w:color="FFFFFF" w:themeColor="background1"/>
            </w:tcBorders>
            <w:shd w:val="clear" w:color="auto" w:fill="6F6652"/>
            <w:tcMar>
              <w:left w:w="57" w:type="dxa"/>
              <w:right w:w="57" w:type="dxa"/>
            </w:tcMar>
          </w:tcPr>
          <w:p w14:paraId="6843A93C" w14:textId="7F79465A" w:rsidR="00A47BAB" w:rsidRDefault="00A47BAB" w:rsidP="00A47BAB">
            <w:pPr>
              <w:pStyle w:val="TableTextColumnHeading"/>
              <w:rPr>
                <w:lang w:bidi="fa-IR"/>
              </w:rPr>
            </w:pPr>
            <w:r>
              <w:rPr>
                <w:lang w:bidi="fa-IR"/>
              </w:rPr>
              <w:t>4 per cent</w:t>
            </w:r>
          </w:p>
        </w:tc>
        <w:tc>
          <w:tcPr>
            <w:tcW w:w="2646" w:type="dxa"/>
            <w:tcBorders>
              <w:bottom w:val="single" w:sz="8" w:space="0" w:color="FFFFFF" w:themeColor="background1"/>
            </w:tcBorders>
            <w:shd w:val="clear" w:color="auto" w:fill="6F6652"/>
            <w:tcMar>
              <w:left w:w="57" w:type="dxa"/>
              <w:right w:w="57" w:type="dxa"/>
            </w:tcMar>
          </w:tcPr>
          <w:p w14:paraId="06C054EB" w14:textId="00B1B881" w:rsidR="00A47BAB" w:rsidRDefault="00A47BAB" w:rsidP="00A47BAB">
            <w:pPr>
              <w:pStyle w:val="TableTextColumnHeading"/>
              <w:rPr>
                <w:lang w:bidi="fa-IR"/>
              </w:rPr>
            </w:pPr>
            <w:r>
              <w:rPr>
                <w:lang w:bidi="fa-IR"/>
              </w:rPr>
              <w:t>7 per cent</w:t>
            </w:r>
          </w:p>
        </w:tc>
      </w:tr>
      <w:tr w:rsidR="00A47BAB" w14:paraId="051279AC" w14:textId="77777777" w:rsidTr="00A47BAB">
        <w:tc>
          <w:tcPr>
            <w:tcW w:w="2645" w:type="dxa"/>
            <w:tcBorders>
              <w:top w:val="single" w:sz="8" w:space="0" w:color="FFFFFF" w:themeColor="background1"/>
              <w:bottom w:val="single" w:sz="6" w:space="0" w:color="6F6652"/>
            </w:tcBorders>
            <w:shd w:val="clear" w:color="auto" w:fill="E9E8E5" w:themeFill="background2"/>
            <w:tcMar>
              <w:left w:w="57" w:type="dxa"/>
              <w:right w:w="57" w:type="dxa"/>
            </w:tcMar>
          </w:tcPr>
          <w:p w14:paraId="59B0C82B" w14:textId="40838875" w:rsidR="00A47BAB" w:rsidRPr="009567A8" w:rsidRDefault="00A47BAB" w:rsidP="00A47BAB">
            <w:pPr>
              <w:pStyle w:val="TableTextEntries"/>
              <w:rPr>
                <w:i/>
                <w:lang w:bidi="fa-IR"/>
              </w:rPr>
            </w:pPr>
            <w:r w:rsidRPr="009567A8">
              <w:rPr>
                <w:i/>
                <w:lang w:bidi="fa-IR"/>
              </w:rPr>
              <w:t>Rate used for long term (&gt;50 years) intergenerationa</w:t>
            </w:r>
            <w:r w:rsidR="0007072A">
              <w:rPr>
                <w:i/>
                <w:lang w:bidi="fa-IR"/>
              </w:rPr>
              <w:t>l decisions (in the Stern 2006</w:t>
            </w:r>
            <w:r w:rsidRPr="009567A8">
              <w:rPr>
                <w:i/>
                <w:lang w:bidi="fa-IR"/>
              </w:rPr>
              <w:t>, for example). Based on zero</w:t>
            </w:r>
            <w:r>
              <w:rPr>
                <w:i/>
                <w:lang w:bidi="fa-IR"/>
              </w:rPr>
              <w:t xml:space="preserve"> (or very low)</w:t>
            </w:r>
            <w:r w:rsidRPr="009567A8">
              <w:rPr>
                <w:i/>
                <w:lang w:bidi="fa-IR"/>
              </w:rPr>
              <w:t xml:space="preserve"> pure discount </w:t>
            </w:r>
            <w:proofErr w:type="gramStart"/>
            <w:r w:rsidRPr="009567A8">
              <w:rPr>
                <w:i/>
                <w:lang w:bidi="fa-IR"/>
              </w:rPr>
              <w:t>rate, but</w:t>
            </w:r>
            <w:proofErr w:type="gramEnd"/>
            <w:r w:rsidRPr="009567A8">
              <w:rPr>
                <w:i/>
                <w:lang w:bidi="fa-IR"/>
              </w:rPr>
              <w:t xml:space="preserve"> allows for some growth in real consumption.</w:t>
            </w:r>
          </w:p>
          <w:p w14:paraId="0D43846F" w14:textId="6DFC0823" w:rsidR="00A47BAB" w:rsidRDefault="00A47BAB" w:rsidP="00A47BAB">
            <w:pPr>
              <w:pStyle w:val="TableTextEntries"/>
              <w:rPr>
                <w:lang w:bidi="fa-IR"/>
              </w:rPr>
            </w:pPr>
            <w:r w:rsidRPr="009567A8">
              <w:rPr>
                <w:i/>
                <w:lang w:bidi="fa-IR"/>
              </w:rPr>
              <w:t>Some also argue that current real risk-free discount rate is very low.</w:t>
            </w:r>
          </w:p>
        </w:tc>
        <w:tc>
          <w:tcPr>
            <w:tcW w:w="2646" w:type="dxa"/>
            <w:tcBorders>
              <w:top w:val="single" w:sz="8" w:space="0" w:color="FFFFFF" w:themeColor="background1"/>
              <w:bottom w:val="single" w:sz="6" w:space="0" w:color="6F6652"/>
            </w:tcBorders>
            <w:shd w:val="clear" w:color="auto" w:fill="E9E8E5" w:themeFill="background2"/>
            <w:tcMar>
              <w:left w:w="57" w:type="dxa"/>
              <w:right w:w="57" w:type="dxa"/>
            </w:tcMar>
          </w:tcPr>
          <w:p w14:paraId="50CD7AAB" w14:textId="5B58FA69" w:rsidR="00A47BAB" w:rsidRPr="009567A8" w:rsidRDefault="00A47BAB" w:rsidP="00A47BAB">
            <w:pPr>
              <w:pStyle w:val="TableTextEntries"/>
              <w:rPr>
                <w:i/>
                <w:lang w:bidi="fa-IR"/>
              </w:rPr>
            </w:pPr>
            <w:r w:rsidRPr="009567A8">
              <w:rPr>
                <w:i/>
                <w:lang w:bidi="fa-IR"/>
              </w:rPr>
              <w:t>Designed to represent the market return on capital over the long term. In climate change, this is a rate typically used by an</w:t>
            </w:r>
            <w:r>
              <w:rPr>
                <w:i/>
                <w:lang w:bidi="fa-IR"/>
              </w:rPr>
              <w:t>alysts such as Nordhaus (</w:t>
            </w:r>
            <w:r w:rsidR="0007072A">
              <w:rPr>
                <w:i/>
                <w:lang w:bidi="fa-IR"/>
              </w:rPr>
              <w:t>2008</w:t>
            </w:r>
            <w:r>
              <w:rPr>
                <w:i/>
                <w:lang w:bidi="fa-IR"/>
              </w:rPr>
              <w:t>)</w:t>
            </w:r>
          </w:p>
          <w:p w14:paraId="723C447A" w14:textId="75E7D805" w:rsidR="00A47BAB" w:rsidRDefault="00A47BAB" w:rsidP="00A47BAB">
            <w:pPr>
              <w:pStyle w:val="TableTextEntries"/>
              <w:rPr>
                <w:lang w:bidi="fa-IR"/>
              </w:rPr>
            </w:pPr>
            <w:r w:rsidRPr="009567A8">
              <w:rPr>
                <w:i/>
                <w:lang w:bidi="fa-IR"/>
              </w:rPr>
              <w:t>Also, frequently used as a lower bound in cost-benefit analysis.</w:t>
            </w:r>
          </w:p>
        </w:tc>
        <w:tc>
          <w:tcPr>
            <w:tcW w:w="2646" w:type="dxa"/>
            <w:tcBorders>
              <w:top w:val="single" w:sz="8" w:space="0" w:color="FFFFFF" w:themeColor="background1"/>
              <w:bottom w:val="single" w:sz="6" w:space="0" w:color="6F6652"/>
            </w:tcBorders>
            <w:shd w:val="clear" w:color="auto" w:fill="E9E8E5" w:themeFill="background2"/>
            <w:tcMar>
              <w:left w:w="57" w:type="dxa"/>
              <w:right w:w="57" w:type="dxa"/>
            </w:tcMar>
          </w:tcPr>
          <w:p w14:paraId="0D1BF854" w14:textId="715294C7" w:rsidR="00A47BAB" w:rsidRDefault="00A47BAB" w:rsidP="00A47BAB">
            <w:pPr>
              <w:pStyle w:val="TableTextEntries"/>
              <w:rPr>
                <w:lang w:bidi="fa-IR"/>
              </w:rPr>
            </w:pPr>
            <w:r w:rsidRPr="009567A8">
              <w:rPr>
                <w:i/>
                <w:lang w:bidi="fa-IR"/>
              </w:rPr>
              <w:t>Represents opportunity cost of capital; a rate often used for Government cost-benefit analysis and regulatory impact analysis. Generally, applies to periods less than 50 years.</w:t>
            </w:r>
          </w:p>
        </w:tc>
      </w:tr>
    </w:tbl>
    <w:p w14:paraId="2F6EA27F" w14:textId="1152FD6F" w:rsidR="00A47BAB" w:rsidRDefault="00A47BAB" w:rsidP="00A47BAB">
      <w:pPr>
        <w:pStyle w:val="Source"/>
        <w:rPr>
          <w:lang w:bidi="fa-IR"/>
        </w:rPr>
      </w:pPr>
      <w:r w:rsidRPr="00A47BAB">
        <w:rPr>
          <w:i/>
          <w:lang w:bidi="fa-IR"/>
        </w:rPr>
        <w:t>Source:</w:t>
      </w:r>
      <w:r>
        <w:rPr>
          <w:lang w:bidi="fa-IR"/>
        </w:rPr>
        <w:t xml:space="preserve"> </w:t>
      </w:r>
      <w:r w:rsidR="0007072A">
        <w:rPr>
          <w:lang w:bidi="fa-IR"/>
        </w:rPr>
        <w:t>CIE, and discussions with DEL</w:t>
      </w:r>
      <w:r w:rsidR="00436459">
        <w:rPr>
          <w:lang w:bidi="fa-IR"/>
        </w:rPr>
        <w:t>W</w:t>
      </w:r>
      <w:r w:rsidR="0007072A">
        <w:rPr>
          <w:lang w:bidi="fa-IR"/>
        </w:rPr>
        <w:t>P</w:t>
      </w:r>
    </w:p>
    <w:p w14:paraId="4F6BDE34" w14:textId="6C8AE6EA" w:rsidR="00A47BAB" w:rsidRDefault="00A47BAB" w:rsidP="00A47BAB">
      <w:pPr>
        <w:pStyle w:val="BodyText"/>
        <w:rPr>
          <w:lang w:bidi="fa-IR"/>
        </w:rPr>
      </w:pPr>
      <w:r>
        <w:rPr>
          <w:lang w:bidi="fa-IR"/>
        </w:rPr>
        <w:t>Assuming a low discount rate results in treating all losses (whether they occur in the near-term or long-term) as relatively equal in importance. Assuming a high discount rate implies that near-term losses are more important than long-term losses.</w:t>
      </w:r>
    </w:p>
    <w:p w14:paraId="1F84B1EE" w14:textId="3B90A0E0" w:rsidR="00B87FC6" w:rsidRDefault="00934396" w:rsidP="00B87FC6">
      <w:pPr>
        <w:pStyle w:val="BodyText"/>
        <w:rPr>
          <w:lang w:bidi="fa-IR"/>
        </w:rPr>
      </w:pPr>
      <w:r>
        <w:rPr>
          <w:lang w:bidi="fa-IR"/>
        </w:rPr>
        <w:t xml:space="preserve">An academic reviewer of this report notes </w:t>
      </w:r>
      <w:r w:rsidR="00B87FC6">
        <w:rPr>
          <w:lang w:bidi="fa-IR"/>
        </w:rPr>
        <w:t xml:space="preserve">the 1.4 per cent per year discount rate is ‘more applicable’ than the 4 per cent per year and 7 per cent per year discount rates (further </w:t>
      </w:r>
      <w:r w:rsidR="00B87FC6">
        <w:rPr>
          <w:lang w:bidi="fa-IR"/>
        </w:rPr>
        <w:lastRenderedPageBreak/>
        <w:t>adding there is ‘little justification’ and ‘no justification’ for the 4 per cent per year and 7 per cent per year discount rates).</w:t>
      </w:r>
      <w:r w:rsidR="00B87FC6">
        <w:rPr>
          <w:rStyle w:val="FootnoteReference"/>
          <w:lang w:bidi="fa-IR"/>
        </w:rPr>
        <w:footnoteReference w:id="6"/>
      </w:r>
    </w:p>
    <w:p w14:paraId="4A8333A4" w14:textId="4D1EA3D1" w:rsidR="00F27514" w:rsidRDefault="00F27514" w:rsidP="00F27514">
      <w:pPr>
        <w:pStyle w:val="Heading2"/>
        <w:rPr>
          <w:lang w:bidi="fa-IR"/>
        </w:rPr>
      </w:pPr>
      <w:bookmarkStart w:id="137" w:name="_Toc9778456"/>
      <w:r>
        <w:rPr>
          <w:lang w:bidi="fa-IR"/>
        </w:rPr>
        <w:t>Results</w:t>
      </w:r>
      <w:bookmarkEnd w:id="137"/>
    </w:p>
    <w:p w14:paraId="316F41D0" w14:textId="4F1FD72C" w:rsidR="002F0252" w:rsidRPr="002F0252" w:rsidRDefault="002F0252" w:rsidP="002F0252">
      <w:pPr>
        <w:pStyle w:val="BodyText"/>
        <w:rPr>
          <w:lang w:bidi="fa-IR"/>
        </w:rPr>
      </w:pPr>
      <w:r>
        <w:rPr>
          <w:lang w:bidi="fa-IR"/>
        </w:rPr>
        <w:t xml:space="preserve">The </w:t>
      </w:r>
      <w:r w:rsidR="0079560C">
        <w:rPr>
          <w:lang w:bidi="fa-IR"/>
        </w:rPr>
        <w:t xml:space="preserve">emission path </w:t>
      </w:r>
      <w:r w:rsidR="003E69FA">
        <w:rPr>
          <w:lang w:bidi="fa-IR"/>
        </w:rPr>
        <w:t xml:space="preserve">than generates the lowest loss of GSI </w:t>
      </w:r>
      <w:r w:rsidR="0079560C">
        <w:rPr>
          <w:lang w:bidi="fa-IR"/>
        </w:rPr>
        <w:t>is a function of the assumption made for the slope of the cost curve and for the discount rate. These are treated in turn.</w:t>
      </w:r>
    </w:p>
    <w:p w14:paraId="54DFECCC" w14:textId="51CCAA84" w:rsidR="00555AF3" w:rsidRDefault="0079560C" w:rsidP="00555AF3">
      <w:pPr>
        <w:pStyle w:val="Heading3"/>
        <w:rPr>
          <w:lang w:bidi="fa-IR"/>
        </w:rPr>
      </w:pPr>
      <w:r>
        <w:rPr>
          <w:lang w:bidi="fa-IR"/>
        </w:rPr>
        <w:t>The effect of the slope of the cost curve</w:t>
      </w:r>
    </w:p>
    <w:p w14:paraId="0AEBC63A" w14:textId="011D0F63" w:rsidR="0079560C" w:rsidRDefault="0079560C" w:rsidP="00C44B6A">
      <w:pPr>
        <w:pStyle w:val="BodyText"/>
        <w:rPr>
          <w:lang w:bidi="fa-IR"/>
        </w:rPr>
      </w:pPr>
      <w:r>
        <w:rPr>
          <w:lang w:bidi="fa-IR"/>
        </w:rPr>
        <w:t xml:space="preserve">If we assume the cost curve is flat, there is little difference in the GSI loss that is implied by the different emission paths for Victoria that the panel is considering. This is shown in Chart </w:t>
      </w:r>
      <w:r>
        <w:rPr>
          <w:lang w:bidi="fa-IR"/>
        </w:rPr>
        <w:fldChar w:fldCharType="begin"/>
      </w:r>
      <w:r>
        <w:rPr>
          <w:lang w:bidi="fa-IR"/>
        </w:rPr>
        <w:instrText xml:space="preserve"> REF _Caption3723 </w:instrText>
      </w:r>
      <w:r>
        <w:rPr>
          <w:lang w:bidi="fa-IR"/>
        </w:rPr>
        <w:fldChar w:fldCharType="separate"/>
      </w:r>
      <w:r w:rsidR="00ED1D13">
        <w:rPr>
          <w:noProof/>
        </w:rPr>
        <w:t>3</w:t>
      </w:r>
      <w:r w:rsidR="00ED1D13" w:rsidRPr="00695C93">
        <w:rPr>
          <w:noProof/>
        </w:rPr>
        <w:t>.</w:t>
      </w:r>
      <w:r w:rsidR="00ED1D13">
        <w:rPr>
          <w:noProof/>
        </w:rPr>
        <w:t>5</w:t>
      </w:r>
      <w:r>
        <w:rPr>
          <w:lang w:bidi="fa-IR"/>
        </w:rPr>
        <w:fldChar w:fldCharType="end"/>
      </w:r>
      <w:r>
        <w:rPr>
          <w:lang w:bidi="fa-IR"/>
        </w:rPr>
        <w:t xml:space="preserve">, where implied GSI loss is calculated by multiplying emissions reductions with </w:t>
      </w:r>
      <w:r w:rsidR="008E2B47">
        <w:rPr>
          <w:lang w:bidi="fa-IR"/>
        </w:rPr>
        <w:t>a flat cost curve</w:t>
      </w:r>
      <w:r>
        <w:rPr>
          <w:lang w:bidi="fa-IR"/>
        </w:rPr>
        <w:t>.</w:t>
      </w:r>
    </w:p>
    <w:bookmarkStart w:id="138" w:name="_Hlk513546716"/>
    <w:p w14:paraId="6BB12BAB" w14:textId="18CF31D8" w:rsidR="00DD537A" w:rsidRPr="00695C93" w:rsidRDefault="00DD537A" w:rsidP="00DD537A">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5</w:instrText>
      </w:r>
      <w:r w:rsidRPr="00695C93">
        <w:fldChar w:fldCharType="end"/>
      </w:r>
      <w:r w:rsidRPr="00695C93">
        <w:instrText xml:space="preserve">" "" </w:instrText>
      </w:r>
      <w:r w:rsidRPr="00695C93">
        <w:fldChar w:fldCharType="separate"/>
      </w:r>
      <w:bookmarkStart w:id="139" w:name="_Caption7958"/>
      <w:bookmarkStart w:id="140" w:name="_Caption7862"/>
      <w:bookmarkStart w:id="141" w:name="_Caption6660"/>
      <w:bookmarkStart w:id="142" w:name="_Caption7522"/>
      <w:bookmarkStart w:id="143" w:name="_Caption8986"/>
      <w:bookmarkStart w:id="144" w:name="_Caption5962"/>
      <w:bookmarkStart w:id="145" w:name="_Caption4731"/>
      <w:bookmarkStart w:id="146" w:name="_Caption0649"/>
      <w:bookmarkStart w:id="147" w:name="_Caption5605"/>
      <w:bookmarkStart w:id="148" w:name="_Caption2148"/>
      <w:bookmarkStart w:id="149" w:name="_Caption3723"/>
      <w:bookmarkStart w:id="150" w:name="_Caption5566"/>
      <w:bookmarkStart w:id="151" w:name="_Caption9738"/>
      <w:bookmarkStart w:id="152" w:name="_Caption6804"/>
      <w:bookmarkStart w:id="153" w:name="_Caption2229"/>
      <w:bookmarkStart w:id="154" w:name="_Caption6040"/>
      <w:bookmarkStart w:id="155" w:name="_Caption1808"/>
      <w:bookmarkStart w:id="156" w:name="_Caption6377"/>
      <w:bookmarkStart w:id="157" w:name="_Caption9486"/>
      <w:bookmarkStart w:id="158" w:name="_Caption8438"/>
      <w:bookmarkStart w:id="159" w:name="_Caption5708"/>
      <w:bookmarkStart w:id="160" w:name="_Caption5072"/>
      <w:bookmarkStart w:id="161" w:name="_Caption8315"/>
      <w:bookmarkStart w:id="162" w:name="_Caption4075"/>
      <w:bookmarkStart w:id="163" w:name="_Caption4563"/>
      <w:bookmarkStart w:id="164" w:name="_Caption8415"/>
      <w:bookmarkStart w:id="165" w:name="_Caption5453"/>
      <w:bookmarkStart w:id="166" w:name="_Caption1440"/>
      <w:bookmarkStart w:id="167" w:name="_Caption1397"/>
      <w:bookmarkStart w:id="168" w:name="_Caption2546"/>
      <w:bookmarkStart w:id="169" w:name="_Caption6034"/>
      <w:bookmarkStart w:id="170" w:name="_Caption4765"/>
      <w:bookmarkStart w:id="171" w:name="_Caption1949"/>
      <w:bookmarkStart w:id="172" w:name="_Caption7441"/>
      <w:bookmarkStart w:id="173" w:name="_Toc9778473"/>
      <w:r w:rsidR="008A2B2B">
        <w:rPr>
          <w:noProof/>
        </w:rPr>
        <w:t>3</w:t>
      </w:r>
      <w:r w:rsidR="008A2B2B" w:rsidRPr="00695C93">
        <w:rPr>
          <w:noProof/>
        </w:rPr>
        <w:t>.</w:t>
      </w:r>
      <w:r w:rsidR="008A2B2B">
        <w:rPr>
          <w:noProof/>
        </w:rPr>
        <w:t>5</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695C93">
        <w:fldChar w:fldCharType="end"/>
      </w:r>
      <w:r w:rsidRPr="00695C93">
        <w:tab/>
      </w:r>
      <w:r w:rsidR="004214DE">
        <w:t xml:space="preserve">Deviation in </w:t>
      </w:r>
      <w:r w:rsidR="00B403C7">
        <w:t>GSI</w:t>
      </w:r>
      <w:r w:rsidR="004214DE">
        <w:t xml:space="preserve"> from baseline</w:t>
      </w:r>
      <w:r w:rsidR="00471B88">
        <w:t xml:space="preserve"> (undiscounted)</w:t>
      </w:r>
      <w:r w:rsidR="004214DE">
        <w:t xml:space="preserve">, implied by </w:t>
      </w:r>
      <w:r w:rsidR="00555AF3">
        <w:t xml:space="preserve">panel </w:t>
      </w:r>
      <w:r w:rsidR="004214DE">
        <w:t>emissions reduction</w:t>
      </w:r>
      <w:r w:rsidR="00555AF3">
        <w:t xml:space="preserve"> scenarios </w:t>
      </w:r>
      <w:r w:rsidR="008E2B47">
        <w:t>using a flat cost curve</w:t>
      </w:r>
      <w:bookmarkEnd w:id="173"/>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DD537A" w14:paraId="24451EB2" w14:textId="77777777" w:rsidTr="00DD537A">
        <w:trPr>
          <w:cantSplit/>
        </w:trPr>
        <w:tc>
          <w:tcPr>
            <w:tcW w:w="7938" w:type="dxa"/>
            <w:shd w:val="clear" w:color="auto" w:fill="E9E8E5" w:themeFill="background2"/>
          </w:tcPr>
          <w:p w14:paraId="06E542EC" w14:textId="05304D2C" w:rsidR="00DD537A" w:rsidRDefault="008855F6" w:rsidP="008855F6">
            <w:pPr>
              <w:pStyle w:val="Chart"/>
              <w:jc w:val="center"/>
            </w:pPr>
            <w:r w:rsidRPr="008855F6">
              <w:rPr>
                <w:noProof/>
              </w:rPr>
              <w:drawing>
                <wp:inline distT="0" distB="0" distL="0" distR="0" wp14:anchorId="57862BA6" wp14:editId="71708878">
                  <wp:extent cx="487934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9340" cy="2517775"/>
                          </a:xfrm>
                          <a:prstGeom prst="rect">
                            <a:avLst/>
                          </a:prstGeom>
                          <a:noFill/>
                          <a:ln>
                            <a:noFill/>
                          </a:ln>
                        </pic:spPr>
                      </pic:pic>
                    </a:graphicData>
                  </a:graphic>
                </wp:inline>
              </w:drawing>
            </w:r>
          </w:p>
        </w:tc>
      </w:tr>
    </w:tbl>
    <w:p w14:paraId="71E38F27" w14:textId="5FB9C4EF" w:rsidR="00C44B6A" w:rsidRDefault="00DD537A" w:rsidP="00E3760A">
      <w:pPr>
        <w:pStyle w:val="Source"/>
      </w:pPr>
      <w:r>
        <w:rPr>
          <w:i/>
        </w:rPr>
        <w:t>Data source</w:t>
      </w:r>
      <w:r w:rsidRPr="00A67576">
        <w:rPr>
          <w:i/>
        </w:rPr>
        <w:t>:</w:t>
      </w:r>
      <w:r>
        <w:t xml:space="preserve"> </w:t>
      </w:r>
      <w:r w:rsidR="008E2B47">
        <w:t>CIE estimates</w:t>
      </w:r>
    </w:p>
    <w:p w14:paraId="48FDAE71" w14:textId="5A818A35" w:rsidR="00147483" w:rsidRDefault="0079560C" w:rsidP="00147483">
      <w:pPr>
        <w:pStyle w:val="BodyText"/>
        <w:rPr>
          <w:lang w:bidi="fa-IR"/>
        </w:rPr>
      </w:pPr>
      <w:r>
        <w:rPr>
          <w:lang w:eastAsia="en-US"/>
        </w:rPr>
        <w:t>If</w:t>
      </w:r>
      <w:r w:rsidR="006007DC">
        <w:rPr>
          <w:lang w:eastAsia="en-US"/>
        </w:rPr>
        <w:t xml:space="preserve"> we assume a steeper cost curve</w:t>
      </w:r>
      <w:r w:rsidR="00147483">
        <w:rPr>
          <w:lang w:eastAsia="en-US"/>
        </w:rPr>
        <w:t xml:space="preserve">, the different emission reduction paths imply </w:t>
      </w:r>
      <w:r w:rsidR="003E69FA">
        <w:rPr>
          <w:lang w:eastAsia="en-US"/>
        </w:rPr>
        <w:t xml:space="preserve">significantly </w:t>
      </w:r>
      <w:r w:rsidR="00147483">
        <w:rPr>
          <w:lang w:eastAsia="en-US"/>
        </w:rPr>
        <w:t>different GSI losses</w:t>
      </w:r>
      <w:r w:rsidR="003E69FA">
        <w:rPr>
          <w:lang w:eastAsia="en-US"/>
        </w:rPr>
        <w:t xml:space="preserve"> over time</w:t>
      </w:r>
      <w:r w:rsidR="00147483">
        <w:rPr>
          <w:lang w:eastAsia="en-US"/>
        </w:rPr>
        <w:t xml:space="preserve">. This is shown </w:t>
      </w:r>
      <w:r w:rsidR="00147483">
        <w:rPr>
          <w:lang w:bidi="fa-IR"/>
        </w:rPr>
        <w:t xml:space="preserve">in Chart </w:t>
      </w:r>
      <w:r w:rsidR="00147483">
        <w:rPr>
          <w:lang w:bidi="fa-IR"/>
        </w:rPr>
        <w:fldChar w:fldCharType="begin"/>
      </w:r>
      <w:r w:rsidR="00147483">
        <w:rPr>
          <w:lang w:bidi="fa-IR"/>
        </w:rPr>
        <w:instrText xml:space="preserve"> REF _Caption0040 </w:instrText>
      </w:r>
      <w:r w:rsidR="00147483">
        <w:rPr>
          <w:lang w:bidi="fa-IR"/>
        </w:rPr>
        <w:fldChar w:fldCharType="separate"/>
      </w:r>
      <w:r w:rsidR="00ED1D13">
        <w:rPr>
          <w:noProof/>
        </w:rPr>
        <w:t>3</w:t>
      </w:r>
      <w:r w:rsidR="00ED1D13" w:rsidRPr="00695C93">
        <w:rPr>
          <w:noProof/>
        </w:rPr>
        <w:t>.</w:t>
      </w:r>
      <w:r w:rsidR="00ED1D13">
        <w:rPr>
          <w:noProof/>
        </w:rPr>
        <w:t>6</w:t>
      </w:r>
      <w:r w:rsidR="00147483">
        <w:rPr>
          <w:lang w:bidi="fa-IR"/>
        </w:rPr>
        <w:fldChar w:fldCharType="end"/>
      </w:r>
      <w:r w:rsidR="00147483">
        <w:rPr>
          <w:lang w:bidi="fa-IR"/>
        </w:rPr>
        <w:t xml:space="preserve">, where implied GSI loss is calculated by multiplying emissions reductions with the </w:t>
      </w:r>
      <w:r w:rsidR="00973C59">
        <w:rPr>
          <w:lang w:bidi="fa-IR"/>
        </w:rPr>
        <w:t xml:space="preserve">steep </w:t>
      </w:r>
      <w:r w:rsidR="00147483">
        <w:rPr>
          <w:lang w:bidi="fa-IR"/>
        </w:rPr>
        <w:t>cost curve.</w:t>
      </w:r>
    </w:p>
    <w:p w14:paraId="1A63D7FE" w14:textId="090D2BDF" w:rsidR="00555AF3" w:rsidRPr="00695C93" w:rsidRDefault="00555AF3" w:rsidP="00555AF3">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6</w:instrText>
      </w:r>
      <w:r w:rsidRPr="00695C93">
        <w:fldChar w:fldCharType="end"/>
      </w:r>
      <w:r w:rsidRPr="00695C93">
        <w:instrText xml:space="preserve">" "" </w:instrText>
      </w:r>
      <w:r w:rsidRPr="00695C93">
        <w:fldChar w:fldCharType="separate"/>
      </w:r>
      <w:bookmarkStart w:id="174" w:name="_Caption5342"/>
      <w:bookmarkStart w:id="175" w:name="_Caption5257"/>
      <w:bookmarkStart w:id="176" w:name="_Caption3215"/>
      <w:bookmarkStart w:id="177" w:name="_Caption8781"/>
      <w:bookmarkStart w:id="178" w:name="_Caption4888"/>
      <w:bookmarkStart w:id="179" w:name="_Caption5473"/>
      <w:bookmarkStart w:id="180" w:name="_Caption0040"/>
      <w:bookmarkStart w:id="181" w:name="_Caption0197"/>
      <w:bookmarkStart w:id="182" w:name="_Caption8108"/>
      <w:bookmarkStart w:id="183" w:name="_Caption1511"/>
      <w:bookmarkStart w:id="184" w:name="_Caption4832"/>
      <w:bookmarkStart w:id="185" w:name="_Caption1999"/>
      <w:bookmarkStart w:id="186" w:name="_Caption8370"/>
      <w:bookmarkStart w:id="187" w:name="_Caption9139"/>
      <w:bookmarkStart w:id="188" w:name="_Caption7678"/>
      <w:bookmarkStart w:id="189" w:name="_Caption7590"/>
      <w:bookmarkStart w:id="190" w:name="_Caption1660"/>
      <w:bookmarkStart w:id="191" w:name="_Caption2022"/>
      <w:bookmarkStart w:id="192" w:name="_Caption9035"/>
      <w:bookmarkStart w:id="193" w:name="_Caption1595"/>
      <w:bookmarkStart w:id="194" w:name="_Caption9710"/>
      <w:bookmarkStart w:id="195" w:name="_Caption9415"/>
      <w:bookmarkStart w:id="196" w:name="_Caption7217"/>
      <w:bookmarkStart w:id="197" w:name="_Caption4997"/>
      <w:bookmarkStart w:id="198" w:name="_Caption2027"/>
      <w:bookmarkStart w:id="199" w:name="_Caption5198"/>
      <w:bookmarkStart w:id="200" w:name="_Caption0676"/>
      <w:bookmarkStart w:id="201" w:name="_Caption3751"/>
      <w:bookmarkStart w:id="202" w:name="_Caption9774"/>
      <w:bookmarkStart w:id="203" w:name="_Toc9778474"/>
      <w:r w:rsidR="008A2B2B">
        <w:rPr>
          <w:noProof/>
        </w:rPr>
        <w:t>3</w:t>
      </w:r>
      <w:r w:rsidR="008A2B2B" w:rsidRPr="00695C93">
        <w:rPr>
          <w:noProof/>
        </w:rPr>
        <w:t>.</w:t>
      </w:r>
      <w:r w:rsidR="008A2B2B">
        <w:rPr>
          <w:noProof/>
        </w:rPr>
        <w:t>6</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95C93">
        <w:fldChar w:fldCharType="end"/>
      </w:r>
      <w:r w:rsidRPr="00695C93">
        <w:tab/>
      </w:r>
      <w:r>
        <w:t>Deviation in GSI from baseline</w:t>
      </w:r>
      <w:r w:rsidR="00471B88">
        <w:t xml:space="preserve"> (undiscounted)</w:t>
      </w:r>
      <w:r>
        <w:t xml:space="preserve">, implied by panel emissions reduction scenarios </w:t>
      </w:r>
      <w:r w:rsidR="00973C59">
        <w:t>using a steep cost curve</w:t>
      </w:r>
      <w:bookmarkEnd w:id="203"/>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Look w:val="04A0" w:firstRow="1" w:lastRow="0" w:firstColumn="1" w:lastColumn="0" w:noHBand="0" w:noVBand="1"/>
      </w:tblPr>
      <w:tblGrid>
        <w:gridCol w:w="7938"/>
      </w:tblGrid>
      <w:tr w:rsidR="00555AF3" w14:paraId="5C27035F" w14:textId="77777777" w:rsidTr="00555AF3">
        <w:trPr>
          <w:cantSplit/>
        </w:trPr>
        <w:tc>
          <w:tcPr>
            <w:tcW w:w="7938" w:type="dxa"/>
            <w:shd w:val="clear" w:color="auto" w:fill="E9E8E5" w:themeFill="background2"/>
          </w:tcPr>
          <w:p w14:paraId="0361DB4E" w14:textId="636051AB" w:rsidR="00555AF3" w:rsidRDefault="008855F6" w:rsidP="005800E2">
            <w:pPr>
              <w:pStyle w:val="Chart"/>
              <w:jc w:val="center"/>
            </w:pPr>
            <w:r w:rsidRPr="008855F6">
              <w:rPr>
                <w:noProof/>
              </w:rPr>
              <w:drawing>
                <wp:inline distT="0" distB="0" distL="0" distR="0" wp14:anchorId="7BDD4971" wp14:editId="765CDB91">
                  <wp:extent cx="4879340" cy="251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9340" cy="2517775"/>
                          </a:xfrm>
                          <a:prstGeom prst="rect">
                            <a:avLst/>
                          </a:prstGeom>
                          <a:noFill/>
                          <a:ln>
                            <a:noFill/>
                          </a:ln>
                        </pic:spPr>
                      </pic:pic>
                    </a:graphicData>
                  </a:graphic>
                </wp:inline>
              </w:drawing>
            </w:r>
          </w:p>
        </w:tc>
      </w:tr>
    </w:tbl>
    <w:p w14:paraId="5DA62C05" w14:textId="7871442D" w:rsidR="00555AF3" w:rsidRDefault="00555AF3" w:rsidP="00555AF3">
      <w:pPr>
        <w:pStyle w:val="Source"/>
      </w:pPr>
      <w:r>
        <w:rPr>
          <w:i/>
        </w:rPr>
        <w:t>Data source</w:t>
      </w:r>
      <w:r w:rsidRPr="00A67576">
        <w:rPr>
          <w:i/>
        </w:rPr>
        <w:t>:</w:t>
      </w:r>
      <w:r>
        <w:t xml:space="preserve"> </w:t>
      </w:r>
      <w:r w:rsidR="00973C59">
        <w:t>CIE estimates</w:t>
      </w:r>
    </w:p>
    <w:p w14:paraId="3903D548" w14:textId="79670673" w:rsidR="00555AF3" w:rsidRDefault="00560701" w:rsidP="00555AF3">
      <w:pPr>
        <w:pStyle w:val="Heading3"/>
        <w:rPr>
          <w:lang w:eastAsia="en-US"/>
        </w:rPr>
      </w:pPr>
      <w:r>
        <w:rPr>
          <w:lang w:eastAsia="en-US"/>
        </w:rPr>
        <w:t>The effect of the discount rate</w:t>
      </w:r>
    </w:p>
    <w:p w14:paraId="50DD1BF4" w14:textId="3A1D28B1" w:rsidR="007C387F" w:rsidRDefault="004B65E3" w:rsidP="00560701">
      <w:pPr>
        <w:pStyle w:val="BodyText"/>
        <w:rPr>
          <w:lang w:eastAsia="en-US"/>
        </w:rPr>
      </w:pPr>
      <w:r>
        <w:rPr>
          <w:lang w:eastAsia="en-US"/>
        </w:rPr>
        <w:t xml:space="preserve">For each scenario for emissions, and for each assumption for cost curves and discount rates, </w:t>
      </w:r>
      <w:r w:rsidR="00973C59">
        <w:rPr>
          <w:lang w:eastAsia="en-US"/>
        </w:rPr>
        <w:t>t</w:t>
      </w:r>
      <w:r w:rsidR="007C387F">
        <w:rPr>
          <w:lang w:eastAsia="en-US"/>
        </w:rPr>
        <w:t xml:space="preserve">able </w:t>
      </w:r>
      <w:r w:rsidR="00353EF0">
        <w:rPr>
          <w:lang w:eastAsia="en-US"/>
        </w:rPr>
        <w:fldChar w:fldCharType="begin"/>
      </w:r>
      <w:r w:rsidR="00353EF0">
        <w:rPr>
          <w:lang w:eastAsia="en-US"/>
        </w:rPr>
        <w:instrText xml:space="preserve"> REF _Caption2807 </w:instrText>
      </w:r>
      <w:r w:rsidR="00353EF0">
        <w:rPr>
          <w:lang w:eastAsia="en-US"/>
        </w:rPr>
        <w:fldChar w:fldCharType="separate"/>
      </w:r>
      <w:r w:rsidR="00ED1D13">
        <w:rPr>
          <w:noProof/>
        </w:rPr>
        <w:t>3</w:t>
      </w:r>
      <w:r w:rsidR="00ED1D13" w:rsidRPr="00695C93">
        <w:rPr>
          <w:noProof/>
        </w:rPr>
        <w:t>.</w:t>
      </w:r>
      <w:r w:rsidR="00ED1D13">
        <w:rPr>
          <w:noProof/>
        </w:rPr>
        <w:t>7</w:t>
      </w:r>
      <w:r w:rsidR="00353EF0">
        <w:rPr>
          <w:lang w:eastAsia="en-US"/>
        </w:rPr>
        <w:fldChar w:fldCharType="end"/>
      </w:r>
      <w:r w:rsidR="00353EF0">
        <w:rPr>
          <w:lang w:eastAsia="en-US"/>
        </w:rPr>
        <w:t xml:space="preserve"> </w:t>
      </w:r>
      <w:r w:rsidR="007C387F">
        <w:rPr>
          <w:lang w:eastAsia="en-US"/>
        </w:rPr>
        <w:t>sh</w:t>
      </w:r>
      <w:r>
        <w:rPr>
          <w:lang w:eastAsia="en-US"/>
        </w:rPr>
        <w:t>ows total discounted GSI losses</w:t>
      </w:r>
      <w:r w:rsidR="008855F6">
        <w:rPr>
          <w:lang w:eastAsia="en-US"/>
        </w:rPr>
        <w:t xml:space="preserve"> in</w:t>
      </w:r>
      <w:r>
        <w:rPr>
          <w:lang w:eastAsia="en-US"/>
        </w:rPr>
        <w:t xml:space="preserve"> all years, discounted to present value terms and summed up, and then </w:t>
      </w:r>
      <w:r w:rsidR="007C387F">
        <w:rPr>
          <w:lang w:eastAsia="en-US"/>
        </w:rPr>
        <w:t xml:space="preserve">expressed as share of total </w:t>
      </w:r>
      <w:r w:rsidR="008F796A">
        <w:rPr>
          <w:lang w:eastAsia="en-US"/>
        </w:rPr>
        <w:t xml:space="preserve">discounted </w:t>
      </w:r>
      <w:r w:rsidR="007C387F">
        <w:rPr>
          <w:lang w:eastAsia="en-US"/>
        </w:rPr>
        <w:t>GSI in the baseline.</w:t>
      </w:r>
    </w:p>
    <w:p w14:paraId="28AF229B" w14:textId="3AA5D262" w:rsidR="004B65E3" w:rsidRDefault="004B65E3" w:rsidP="00DD20BB">
      <w:pPr>
        <w:pStyle w:val="BodyText"/>
        <w:rPr>
          <w:lang w:eastAsia="en-US"/>
        </w:rPr>
      </w:pPr>
      <w:r>
        <w:rPr>
          <w:lang w:eastAsia="en-US"/>
        </w:rPr>
        <w:t xml:space="preserve">The charts </w:t>
      </w:r>
      <w:r>
        <w:rPr>
          <w:lang w:eastAsia="en-US"/>
        </w:rPr>
        <w:fldChar w:fldCharType="begin"/>
      </w:r>
      <w:r>
        <w:rPr>
          <w:lang w:eastAsia="en-US"/>
        </w:rPr>
        <w:instrText xml:space="preserve"> REF _Caption6804 </w:instrText>
      </w:r>
      <w:r>
        <w:rPr>
          <w:lang w:eastAsia="en-US"/>
        </w:rPr>
        <w:fldChar w:fldCharType="separate"/>
      </w:r>
      <w:r w:rsidR="00ED1D13">
        <w:rPr>
          <w:noProof/>
        </w:rPr>
        <w:t>3</w:t>
      </w:r>
      <w:r w:rsidR="00ED1D13" w:rsidRPr="00695C93">
        <w:rPr>
          <w:noProof/>
        </w:rPr>
        <w:t>.</w:t>
      </w:r>
      <w:r w:rsidR="00ED1D13">
        <w:rPr>
          <w:noProof/>
        </w:rPr>
        <w:t>5</w:t>
      </w:r>
      <w:r>
        <w:rPr>
          <w:lang w:eastAsia="en-US"/>
        </w:rPr>
        <w:fldChar w:fldCharType="end"/>
      </w:r>
      <w:r>
        <w:rPr>
          <w:lang w:eastAsia="en-US"/>
        </w:rPr>
        <w:t xml:space="preserve"> and </w:t>
      </w:r>
      <w:r>
        <w:rPr>
          <w:lang w:eastAsia="en-US"/>
        </w:rPr>
        <w:fldChar w:fldCharType="begin"/>
      </w:r>
      <w:r>
        <w:rPr>
          <w:lang w:eastAsia="en-US"/>
        </w:rPr>
        <w:instrText xml:space="preserve"> REF _Caption1511 </w:instrText>
      </w:r>
      <w:r>
        <w:rPr>
          <w:lang w:eastAsia="en-US"/>
        </w:rPr>
        <w:fldChar w:fldCharType="separate"/>
      </w:r>
      <w:r w:rsidR="00ED1D13">
        <w:rPr>
          <w:noProof/>
        </w:rPr>
        <w:t>3</w:t>
      </w:r>
      <w:r w:rsidR="00ED1D13" w:rsidRPr="00695C93">
        <w:rPr>
          <w:noProof/>
        </w:rPr>
        <w:t>.</w:t>
      </w:r>
      <w:r w:rsidR="00ED1D13">
        <w:rPr>
          <w:noProof/>
        </w:rPr>
        <w:t>6</w:t>
      </w:r>
      <w:r>
        <w:rPr>
          <w:lang w:eastAsia="en-US"/>
        </w:rPr>
        <w:fldChar w:fldCharType="end"/>
      </w:r>
      <w:r>
        <w:rPr>
          <w:lang w:eastAsia="en-US"/>
        </w:rPr>
        <w:t xml:space="preserve"> (above) show that there are larger differences i</w:t>
      </w:r>
      <w:r w:rsidR="003E69FA">
        <w:rPr>
          <w:lang w:eastAsia="en-US"/>
        </w:rPr>
        <w:t>n</w:t>
      </w:r>
      <w:r>
        <w:rPr>
          <w:lang w:eastAsia="en-US"/>
        </w:rPr>
        <w:t xml:space="preserve"> implied </w:t>
      </w:r>
      <w:r w:rsidR="003E69FA">
        <w:rPr>
          <w:lang w:eastAsia="en-US"/>
        </w:rPr>
        <w:t>GSI losses as we get closer to 2050</w:t>
      </w:r>
      <w:r>
        <w:rPr>
          <w:lang w:eastAsia="en-US"/>
        </w:rPr>
        <w:t xml:space="preserve"> (especially if a steeper cost curve is assumed). </w:t>
      </w:r>
      <w:r w:rsidR="00560701">
        <w:rPr>
          <w:lang w:eastAsia="en-US"/>
        </w:rPr>
        <w:t xml:space="preserve">A </w:t>
      </w:r>
      <w:r w:rsidR="00560701" w:rsidRPr="00DD20BB">
        <w:rPr>
          <w:b/>
          <w:lang w:eastAsia="en-US"/>
        </w:rPr>
        <w:t xml:space="preserve">lower </w:t>
      </w:r>
      <w:r w:rsidR="00560701" w:rsidRPr="00913D06">
        <w:rPr>
          <w:lang w:eastAsia="en-US"/>
        </w:rPr>
        <w:t>discount rate</w:t>
      </w:r>
      <w:r w:rsidR="00560701">
        <w:rPr>
          <w:lang w:eastAsia="en-US"/>
        </w:rPr>
        <w:t xml:space="preserve"> </w:t>
      </w:r>
      <w:r w:rsidR="00416055">
        <w:rPr>
          <w:lang w:eastAsia="en-US"/>
        </w:rPr>
        <w:t>implies</w:t>
      </w:r>
      <w:r w:rsidR="007C387F">
        <w:rPr>
          <w:lang w:eastAsia="en-US"/>
        </w:rPr>
        <w:t xml:space="preserve"> </w:t>
      </w:r>
      <w:r>
        <w:rPr>
          <w:lang w:eastAsia="en-US"/>
        </w:rPr>
        <w:t xml:space="preserve">these differences in GSI loss across scenarios retain importance. A </w:t>
      </w:r>
      <w:r w:rsidRPr="00913D06">
        <w:rPr>
          <w:b/>
          <w:lang w:eastAsia="en-US"/>
        </w:rPr>
        <w:t>higher</w:t>
      </w:r>
      <w:r>
        <w:rPr>
          <w:lang w:eastAsia="en-US"/>
        </w:rPr>
        <w:t xml:space="preserve"> discount rate implies these differences become less significant.</w:t>
      </w:r>
    </w:p>
    <w:p w14:paraId="35F1987B" w14:textId="7873A567" w:rsidR="008F796A" w:rsidRDefault="004B65E3" w:rsidP="008F796A">
      <w:pPr>
        <w:pStyle w:val="BodyText"/>
        <w:rPr>
          <w:lang w:bidi="fa-IR"/>
        </w:rPr>
      </w:pPr>
      <w:r>
        <w:rPr>
          <w:lang w:eastAsia="en-US"/>
        </w:rPr>
        <w:t xml:space="preserve">We focus on the results implied by the </w:t>
      </w:r>
      <w:r w:rsidR="00973C59">
        <w:rPr>
          <w:lang w:eastAsia="en-US"/>
        </w:rPr>
        <w:t xml:space="preserve">flat versus steep </w:t>
      </w:r>
      <w:r>
        <w:rPr>
          <w:lang w:eastAsia="en-US"/>
        </w:rPr>
        <w:t xml:space="preserve">cost curves. </w:t>
      </w:r>
      <w:r>
        <w:rPr>
          <w:lang w:bidi="fa-IR"/>
        </w:rPr>
        <w:t>With both cost curves, across all discount rates,</w:t>
      </w:r>
      <w:r w:rsidR="00C87A82">
        <w:rPr>
          <w:lang w:bidi="fa-IR"/>
        </w:rPr>
        <w:t xml:space="preserve"> </w:t>
      </w:r>
      <w:r w:rsidR="008F796A">
        <w:rPr>
          <w:lang w:bidi="fa-IR"/>
        </w:rPr>
        <w:t xml:space="preserve">path </w:t>
      </w:r>
      <w:r w:rsidR="008F796A">
        <w:rPr>
          <w:i/>
          <w:lang w:bidi="fa-IR"/>
        </w:rPr>
        <w:t>VIC emissions (65% 2030)</w:t>
      </w:r>
      <w:r w:rsidR="008F796A">
        <w:rPr>
          <w:lang w:bidi="fa-IR"/>
        </w:rPr>
        <w:t>, consistently implies the lowest or equal lowest loss of GSI (in present value terms) under different assumptions. If a flat cost curve is assumed, the differences between implied GSI loss across the scenarios are very small, almost negligible.</w:t>
      </w:r>
    </w:p>
    <w:p w14:paraId="130B9AD0" w14:textId="77777777" w:rsidR="00444D2D" w:rsidRDefault="00444D2D">
      <w:pPr>
        <w:spacing w:before="140"/>
        <w:rPr>
          <w:rFonts w:ascii="Franklin Gothic Demi" w:eastAsia="Times New Roman" w:hAnsi="Franklin Gothic Demi"/>
          <w:szCs w:val="20"/>
        </w:rPr>
      </w:pPr>
      <w:r>
        <w:br w:type="page"/>
      </w:r>
    </w:p>
    <w:p w14:paraId="5080370B" w14:textId="29CF65C1" w:rsidR="00353EF0" w:rsidRDefault="00353EF0" w:rsidP="00353EF0">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fldSimple w:instr=" STYLEREF &quot;Heading 6&quot; \l \n ">
        <w:r w:rsidRPr="00695C93">
          <w:instrText>B</w:instrText>
        </w:r>
      </w:fldSimple>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7</w:instrText>
      </w:r>
      <w:r w:rsidRPr="00695C93">
        <w:fldChar w:fldCharType="end"/>
      </w:r>
      <w:r w:rsidRPr="00695C93">
        <w:instrText xml:space="preserve">" "" </w:instrText>
      </w:r>
      <w:r w:rsidRPr="00695C93">
        <w:fldChar w:fldCharType="separate"/>
      </w:r>
      <w:bookmarkStart w:id="204" w:name="_Caption9766"/>
      <w:bookmarkStart w:id="205" w:name="_Caption2490"/>
      <w:bookmarkStart w:id="206" w:name="_Caption4437"/>
      <w:bookmarkStart w:id="207" w:name="_Caption2807"/>
      <w:bookmarkStart w:id="208" w:name="_Caption8395"/>
      <w:bookmarkStart w:id="209" w:name="_Caption3177"/>
      <w:bookmarkStart w:id="210" w:name="_Caption1658"/>
      <w:bookmarkStart w:id="211" w:name="_Caption8092"/>
      <w:bookmarkStart w:id="212" w:name="_Caption4495"/>
      <w:bookmarkStart w:id="213" w:name="_Caption3421"/>
      <w:bookmarkStart w:id="214" w:name="_Caption6908"/>
      <w:bookmarkStart w:id="215" w:name="_Caption6140"/>
      <w:bookmarkStart w:id="216" w:name="_Caption8336"/>
      <w:bookmarkStart w:id="217" w:name="_Caption1749"/>
      <w:bookmarkStart w:id="218" w:name="_Caption8569"/>
      <w:bookmarkStart w:id="219" w:name="_Caption8070"/>
      <w:bookmarkStart w:id="220" w:name="_Caption0747"/>
      <w:bookmarkStart w:id="221" w:name="_Caption1787"/>
      <w:bookmarkStart w:id="222" w:name="_Caption3399"/>
      <w:bookmarkStart w:id="223" w:name="_Toc9778475"/>
      <w:r w:rsidR="008A2B2B">
        <w:rPr>
          <w:noProof/>
        </w:rPr>
        <w:t>3</w:t>
      </w:r>
      <w:r w:rsidR="008A2B2B" w:rsidRPr="00695C93">
        <w:rPr>
          <w:noProof/>
        </w:rPr>
        <w:t>.</w:t>
      </w:r>
      <w:r w:rsidR="008A2B2B">
        <w:rPr>
          <w:noProof/>
        </w:rPr>
        <w:t>7</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95C93">
        <w:fldChar w:fldCharType="end"/>
      </w:r>
      <w:r w:rsidRPr="00695C93">
        <w:tab/>
      </w:r>
      <w:r w:rsidR="00A47BAB">
        <w:t>Discounted</w:t>
      </w:r>
      <w:r>
        <w:t xml:space="preserve"> </w:t>
      </w:r>
      <w:r w:rsidR="00B87FC6">
        <w:t>change in</w:t>
      </w:r>
      <w:r>
        <w:t xml:space="preserve"> GSI due to emissions reduction between 2020 and 2050 (share of baseline GSI 2020-2050), by scenario</w:t>
      </w:r>
      <w:bookmarkEnd w:id="223"/>
    </w:p>
    <w:tbl>
      <w:tblPr>
        <w:tblW w:w="8052" w:type="dxa"/>
        <w:tblLayout w:type="fixed"/>
        <w:tblLook w:val="04A0" w:firstRow="1" w:lastRow="0" w:firstColumn="1" w:lastColumn="0" w:noHBand="0" w:noVBand="1"/>
      </w:tblPr>
      <w:tblGrid>
        <w:gridCol w:w="1560"/>
        <w:gridCol w:w="1134"/>
        <w:gridCol w:w="1339"/>
        <w:gridCol w:w="1340"/>
        <w:gridCol w:w="1339"/>
        <w:gridCol w:w="1340"/>
      </w:tblGrid>
      <w:tr w:rsidR="00353EF0" w:rsidRPr="00353EF0" w14:paraId="4F0C35EE" w14:textId="77777777" w:rsidTr="00F32EC7">
        <w:trPr>
          <w:trHeight w:val="255"/>
        </w:trPr>
        <w:tc>
          <w:tcPr>
            <w:tcW w:w="1560" w:type="dxa"/>
            <w:tcBorders>
              <w:bottom w:val="single" w:sz="8" w:space="0" w:color="FFFFFF" w:themeColor="background1"/>
            </w:tcBorders>
            <w:shd w:val="clear" w:color="auto" w:fill="6F6652"/>
            <w:noWrap/>
            <w:tcMar>
              <w:left w:w="57" w:type="dxa"/>
              <w:right w:w="57" w:type="dxa"/>
            </w:tcMar>
            <w:hideMark/>
          </w:tcPr>
          <w:p w14:paraId="6A0163F3" w14:textId="37A2009A" w:rsidR="00353EF0" w:rsidRPr="00353EF0" w:rsidRDefault="00353EF0" w:rsidP="00353EF0">
            <w:pPr>
              <w:pStyle w:val="TableDataColumnHeading"/>
              <w:jc w:val="left"/>
            </w:pPr>
            <w:r>
              <w:t>Cost curve</w:t>
            </w:r>
          </w:p>
        </w:tc>
        <w:tc>
          <w:tcPr>
            <w:tcW w:w="1134" w:type="dxa"/>
            <w:tcBorders>
              <w:bottom w:val="single" w:sz="8" w:space="0" w:color="FFFFFF" w:themeColor="background1"/>
            </w:tcBorders>
            <w:shd w:val="clear" w:color="auto" w:fill="6F6652"/>
            <w:noWrap/>
            <w:tcMar>
              <w:left w:w="57" w:type="dxa"/>
              <w:right w:w="57" w:type="dxa"/>
            </w:tcMar>
            <w:hideMark/>
          </w:tcPr>
          <w:p w14:paraId="52645EDB" w14:textId="390D0747" w:rsidR="00353EF0" w:rsidRPr="00353EF0" w:rsidRDefault="00353EF0" w:rsidP="00353EF0">
            <w:pPr>
              <w:pStyle w:val="TableDataColumnHeading"/>
              <w:rPr>
                <w:rFonts w:ascii="Franklin Gothic Book" w:hAnsi="Franklin Gothic Book"/>
                <w:i/>
                <w:sz w:val="18"/>
              </w:rPr>
            </w:pPr>
            <w:r w:rsidRPr="00353EF0">
              <w:rPr>
                <w:i/>
              </w:rPr>
              <w:t>Discount rate</w:t>
            </w:r>
          </w:p>
        </w:tc>
        <w:tc>
          <w:tcPr>
            <w:tcW w:w="5358" w:type="dxa"/>
            <w:gridSpan w:val="4"/>
            <w:tcBorders>
              <w:bottom w:val="single" w:sz="8" w:space="0" w:color="FFFFFF" w:themeColor="background1"/>
            </w:tcBorders>
            <w:shd w:val="clear" w:color="auto" w:fill="6F6652"/>
            <w:noWrap/>
            <w:tcMar>
              <w:left w:w="57" w:type="dxa"/>
              <w:right w:w="57" w:type="dxa"/>
            </w:tcMar>
            <w:hideMark/>
          </w:tcPr>
          <w:p w14:paraId="5468AEF1" w14:textId="0B912C91" w:rsidR="00353EF0" w:rsidRPr="00353EF0" w:rsidRDefault="00353EF0" w:rsidP="00353EF0">
            <w:pPr>
              <w:pStyle w:val="TableDataColumnHeading"/>
              <w:jc w:val="left"/>
              <w:rPr>
                <w:rFonts w:ascii="Franklin Gothic Book" w:hAnsi="Franklin Gothic Book"/>
                <w:sz w:val="18"/>
              </w:rPr>
            </w:pPr>
            <w:r>
              <w:t xml:space="preserve">Scenario: level of emissions in 2030 (reduction relative to 2005) </w:t>
            </w:r>
          </w:p>
        </w:tc>
      </w:tr>
      <w:tr w:rsidR="00353EF0" w:rsidRPr="00353EF0" w14:paraId="29332DBC" w14:textId="77777777" w:rsidTr="00F32EC7">
        <w:trPr>
          <w:trHeight w:val="255"/>
        </w:trPr>
        <w:tc>
          <w:tcPr>
            <w:tcW w:w="156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27DD842" w14:textId="77777777" w:rsidR="00353EF0" w:rsidRPr="00353EF0" w:rsidRDefault="00353EF0" w:rsidP="00353EF0">
            <w:pPr>
              <w:pStyle w:val="TableUnit"/>
              <w:jc w:val="left"/>
            </w:pPr>
          </w:p>
        </w:tc>
        <w:tc>
          <w:tcPr>
            <w:tcW w:w="1134"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50DE2BED" w14:textId="77777777" w:rsidR="00353EF0" w:rsidRPr="00353EF0" w:rsidRDefault="00353EF0" w:rsidP="00353EF0">
            <w:pPr>
              <w:pStyle w:val="TableUnit"/>
              <w:rPr>
                <w:i/>
              </w:rPr>
            </w:pPr>
            <w:r w:rsidRPr="00353EF0">
              <w:rPr>
                <w:i/>
              </w:rPr>
              <w: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7647F5AA" w14:textId="77777777" w:rsidR="00353EF0" w:rsidRPr="00353EF0" w:rsidRDefault="00353EF0" w:rsidP="00353EF0">
            <w:pPr>
              <w:pStyle w:val="TableUnit"/>
            </w:pPr>
            <w:r w:rsidRPr="00353EF0">
              <w:t>28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41A88167" w14:textId="77777777" w:rsidR="00353EF0" w:rsidRPr="00353EF0" w:rsidRDefault="00353EF0" w:rsidP="00353EF0">
            <w:pPr>
              <w:pStyle w:val="TableUnit"/>
            </w:pPr>
            <w:r w:rsidRPr="00353EF0">
              <w:t>45 per cent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787935FD" w14:textId="77777777" w:rsidR="00353EF0" w:rsidRPr="00353EF0" w:rsidRDefault="00353EF0" w:rsidP="00353EF0">
            <w:pPr>
              <w:pStyle w:val="TableUnit"/>
            </w:pPr>
            <w:r w:rsidRPr="00353EF0">
              <w:t>55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5D19287D" w14:textId="77777777" w:rsidR="00353EF0" w:rsidRPr="00353EF0" w:rsidRDefault="00353EF0" w:rsidP="00353EF0">
            <w:pPr>
              <w:pStyle w:val="TableUnit"/>
            </w:pPr>
            <w:r w:rsidRPr="00353EF0">
              <w:t>65 per cent</w:t>
            </w:r>
          </w:p>
        </w:tc>
      </w:tr>
      <w:tr w:rsidR="00F32EC7" w:rsidRPr="00353EF0" w14:paraId="62A0EEBD" w14:textId="77777777" w:rsidTr="00BF1DDE">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2B6E5579" w14:textId="673B7522" w:rsidR="00F32EC7" w:rsidRPr="00353EF0" w:rsidRDefault="00973C59" w:rsidP="00353EF0">
            <w:pPr>
              <w:pStyle w:val="TableDataEntries"/>
              <w:jc w:val="left"/>
            </w:pPr>
            <w:r>
              <w:t>Flat</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2D1C412" w14:textId="0B8B61AB" w:rsidR="00F32EC7" w:rsidRPr="00353EF0" w:rsidRDefault="00F32EC7" w:rsidP="00353EF0">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45BBA76" w14:textId="203F9588" w:rsidR="00F32EC7" w:rsidRPr="00353EF0" w:rsidRDefault="00F32EC7" w:rsidP="00353EF0">
            <w:pPr>
              <w:pStyle w:val="TableDataEntries"/>
            </w:pPr>
            <w:r w:rsidRPr="00353EF0">
              <w:t>-0.5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E0D0520" w14:textId="7AE0E534" w:rsidR="00F32EC7" w:rsidRPr="00353EF0" w:rsidRDefault="00F32EC7" w:rsidP="00353EF0">
            <w:pPr>
              <w:pStyle w:val="TableDataEntries"/>
            </w:pPr>
            <w:r>
              <w:t>-0.4</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48A88AB" w14:textId="1ADACC7F" w:rsidR="00F32EC7" w:rsidRPr="00353EF0" w:rsidRDefault="00F32EC7" w:rsidP="00353EF0">
            <w:pPr>
              <w:pStyle w:val="TableDataEntries"/>
            </w:pPr>
            <w: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1AA057A" w14:textId="0354119C" w:rsidR="00F32EC7" w:rsidRPr="00353EF0" w:rsidRDefault="00F32EC7" w:rsidP="00353EF0">
            <w:pPr>
              <w:pStyle w:val="TableDataEntries"/>
            </w:pPr>
            <w:r>
              <w:t>-0.3</w:t>
            </w:r>
          </w:p>
        </w:tc>
      </w:tr>
      <w:tr w:rsidR="00F32EC7" w:rsidRPr="00353EF0" w14:paraId="7510EC4E" w14:textId="77777777" w:rsidTr="00BF1DDE">
        <w:trPr>
          <w:trHeight w:val="255"/>
        </w:trPr>
        <w:tc>
          <w:tcPr>
            <w:tcW w:w="1560" w:type="dxa"/>
            <w:vMerge/>
            <w:shd w:val="clear" w:color="auto" w:fill="E9E8E5" w:themeFill="background2"/>
            <w:noWrap/>
            <w:tcMar>
              <w:left w:w="57" w:type="dxa"/>
              <w:right w:w="57" w:type="dxa"/>
            </w:tcMar>
            <w:hideMark/>
          </w:tcPr>
          <w:p w14:paraId="52F3A532" w14:textId="77777777" w:rsidR="00F32EC7" w:rsidRPr="00353EF0" w:rsidRDefault="00F32EC7" w:rsidP="00353EF0">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8155584" w14:textId="0E7AB043" w:rsidR="00F32EC7" w:rsidRPr="00353EF0" w:rsidRDefault="00F32EC7" w:rsidP="00353EF0">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57E8771" w14:textId="0031E5D6" w:rsidR="00F32EC7" w:rsidRPr="00353EF0" w:rsidRDefault="00F32EC7" w:rsidP="00353EF0">
            <w:pPr>
              <w:pStyle w:val="TableDataEntries"/>
            </w:pPr>
            <w: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21EAF67" w14:textId="683E15F9" w:rsidR="00F32EC7" w:rsidRPr="00353EF0" w:rsidRDefault="00F32EC7" w:rsidP="00353EF0">
            <w:pPr>
              <w:pStyle w:val="TableDataEntries"/>
            </w:pPr>
            <w: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E3BC27B" w14:textId="07C999F8" w:rsidR="00F32EC7" w:rsidRPr="00353EF0" w:rsidRDefault="00F32EC7" w:rsidP="00353EF0">
            <w:pPr>
              <w:pStyle w:val="TableDataEntries"/>
            </w:pPr>
            <w: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5A0CE23" w14:textId="5CAE179D" w:rsidR="00F32EC7" w:rsidRPr="00353EF0" w:rsidRDefault="00F32EC7" w:rsidP="00353EF0">
            <w:pPr>
              <w:pStyle w:val="TableDataEntries"/>
            </w:pPr>
            <w:r>
              <w:t>-0.3</w:t>
            </w:r>
          </w:p>
        </w:tc>
      </w:tr>
      <w:tr w:rsidR="00F32EC7" w:rsidRPr="00353EF0" w14:paraId="671B4D5C" w14:textId="77777777" w:rsidTr="00BF1DDE">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25465324" w14:textId="77777777" w:rsidR="00F32EC7" w:rsidRPr="00353EF0" w:rsidRDefault="00F32EC7" w:rsidP="00353EF0">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5F047A6" w14:textId="5C7B38DF" w:rsidR="00F32EC7" w:rsidRPr="00353EF0" w:rsidRDefault="00F32EC7" w:rsidP="00353EF0">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DF96E4B" w14:textId="44F11970" w:rsidR="00F32EC7" w:rsidRPr="00353EF0" w:rsidRDefault="00F32EC7" w:rsidP="00353EF0">
            <w:pPr>
              <w:pStyle w:val="TableDataEntries"/>
            </w:pPr>
            <w: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508F58F" w14:textId="45558F82" w:rsidR="00F32EC7" w:rsidRPr="00353EF0" w:rsidRDefault="00F32EC7" w:rsidP="00353EF0">
            <w:pPr>
              <w:pStyle w:val="TableDataEntries"/>
            </w:pPr>
            <w: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3C13F45" w14:textId="37AD5821" w:rsidR="00F32EC7" w:rsidRPr="00353EF0" w:rsidRDefault="00F32EC7" w:rsidP="00353EF0">
            <w:pPr>
              <w:pStyle w:val="TableDataEntries"/>
            </w:pPr>
            <w:r>
              <w:t>-0.2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7A52F7C" w14:textId="34B07709" w:rsidR="00F32EC7" w:rsidRPr="00353EF0" w:rsidRDefault="00F32EC7" w:rsidP="00353EF0">
            <w:pPr>
              <w:pStyle w:val="TableDataEntries"/>
            </w:pPr>
            <w:r>
              <w:t>-0.2</w:t>
            </w:r>
          </w:p>
        </w:tc>
      </w:tr>
      <w:tr w:rsidR="00F32EC7" w:rsidRPr="00353EF0" w14:paraId="13DFEB49" w14:textId="77777777" w:rsidTr="00BF1DDE">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1D73ADCC" w14:textId="066F6AFC" w:rsidR="00F32EC7" w:rsidRPr="00353EF0" w:rsidRDefault="00973C59" w:rsidP="00F32EC7">
            <w:pPr>
              <w:pStyle w:val="TableDataEntries"/>
              <w:jc w:val="left"/>
            </w:pPr>
            <w:r>
              <w:t>Steep</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9DF29BF" w14:textId="608BFC05" w:rsidR="00F32EC7" w:rsidRPr="00353EF0" w:rsidRDefault="00F32EC7" w:rsidP="00F32EC7">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1517EE6" w14:textId="5D72F6F4" w:rsidR="00F32EC7" w:rsidRPr="00353EF0" w:rsidRDefault="00F32EC7" w:rsidP="00F32EC7">
            <w:pPr>
              <w:pStyle w:val="TableDataEntries"/>
            </w:pPr>
            <w:r>
              <w:t>-3.6</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E7DF06F" w14:textId="1A61DE64" w:rsidR="00F32EC7" w:rsidRPr="00353EF0" w:rsidRDefault="00F32EC7" w:rsidP="00F32EC7">
            <w:pPr>
              <w:pStyle w:val="TableDataEntries"/>
            </w:pPr>
            <w:r>
              <w:t>-3.1</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07D929D" w14:textId="09C522E6" w:rsidR="00F32EC7" w:rsidRPr="00353EF0" w:rsidRDefault="00F32EC7" w:rsidP="00F32EC7">
            <w:pPr>
              <w:pStyle w:val="TableDataEntries"/>
            </w:pPr>
            <w:r>
              <w:t>-2.7</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C6E7088" w14:textId="46A2DFE5" w:rsidR="00F32EC7" w:rsidRPr="00353EF0" w:rsidRDefault="00F32EC7" w:rsidP="00F32EC7">
            <w:pPr>
              <w:pStyle w:val="TableDataEntries"/>
            </w:pPr>
            <w:r>
              <w:t>-2.4</w:t>
            </w:r>
          </w:p>
        </w:tc>
      </w:tr>
      <w:tr w:rsidR="00F32EC7" w:rsidRPr="00353EF0" w14:paraId="736460F5" w14:textId="77777777" w:rsidTr="00BF1DDE">
        <w:trPr>
          <w:trHeight w:val="255"/>
        </w:trPr>
        <w:tc>
          <w:tcPr>
            <w:tcW w:w="1560" w:type="dxa"/>
            <w:vMerge/>
            <w:shd w:val="clear" w:color="auto" w:fill="E9E8E5" w:themeFill="background2"/>
            <w:noWrap/>
            <w:tcMar>
              <w:left w:w="57" w:type="dxa"/>
              <w:right w:w="57" w:type="dxa"/>
            </w:tcMar>
            <w:hideMark/>
          </w:tcPr>
          <w:p w14:paraId="10521176" w14:textId="5F679115" w:rsidR="00F32EC7" w:rsidRPr="00353EF0" w:rsidRDefault="00F32EC7" w:rsidP="00F32EC7">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7748959" w14:textId="21876FC3" w:rsidR="00F32EC7" w:rsidRPr="00353EF0" w:rsidRDefault="00F32EC7" w:rsidP="00F32EC7">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CC5FEFD" w14:textId="11493AEC" w:rsidR="00F32EC7" w:rsidRPr="00353EF0" w:rsidRDefault="00F32EC7" w:rsidP="00F32EC7">
            <w:pPr>
              <w:pStyle w:val="TableDataEntries"/>
            </w:pPr>
            <w:r>
              <w:t>-2.9</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2D3F9B7" w14:textId="5D839EEC" w:rsidR="00F32EC7" w:rsidRPr="00353EF0" w:rsidRDefault="00F32EC7" w:rsidP="00F32EC7">
            <w:pPr>
              <w:pStyle w:val="TableDataEntries"/>
            </w:pPr>
            <w:r>
              <w:t>-2.5</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91FB819" w14:textId="5981139F" w:rsidR="00F32EC7" w:rsidRPr="00353EF0" w:rsidRDefault="00F32EC7" w:rsidP="00F32EC7">
            <w:pPr>
              <w:pStyle w:val="TableDataEntries"/>
            </w:pPr>
            <w:r>
              <w:t>-2.3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0E67006" w14:textId="7B90CE11" w:rsidR="00F32EC7" w:rsidRPr="00353EF0" w:rsidRDefault="00F32EC7" w:rsidP="00F32EC7">
            <w:pPr>
              <w:pStyle w:val="TableDataEntries"/>
            </w:pPr>
            <w:r>
              <w:t>-2.1</w:t>
            </w:r>
          </w:p>
        </w:tc>
      </w:tr>
      <w:tr w:rsidR="00F32EC7" w:rsidRPr="00353EF0" w14:paraId="7EFA1D7D" w14:textId="77777777" w:rsidTr="00BF1DDE">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6CE87B7B" w14:textId="230FC3E6" w:rsidR="00F32EC7" w:rsidRPr="00353EF0" w:rsidRDefault="00F32EC7" w:rsidP="00F32EC7">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DD60DDA" w14:textId="564579D6" w:rsidR="00F32EC7" w:rsidRPr="00353EF0" w:rsidRDefault="00F32EC7" w:rsidP="00F32EC7">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7DE3AE4" w14:textId="5625ACD6" w:rsidR="00F32EC7" w:rsidRPr="00353EF0" w:rsidRDefault="00F32EC7" w:rsidP="00F32EC7">
            <w:pPr>
              <w:pStyle w:val="TableDataEntries"/>
            </w:pPr>
            <w:r>
              <w:t>-2.2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385F65F" w14:textId="6962E222" w:rsidR="00F32EC7" w:rsidRPr="00353EF0" w:rsidRDefault="00F32EC7" w:rsidP="00F32EC7">
            <w:pPr>
              <w:pStyle w:val="TableDataEntries"/>
            </w:pPr>
            <w:r>
              <w:t>-1.9</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5498788" w14:textId="25615873" w:rsidR="00F32EC7" w:rsidRPr="00353EF0" w:rsidRDefault="00F32EC7" w:rsidP="00F32EC7">
            <w:pPr>
              <w:pStyle w:val="TableDataEntries"/>
            </w:pPr>
            <w:r>
              <w:t>-1.8</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0E15156" w14:textId="56D7B457" w:rsidR="00F32EC7" w:rsidRPr="00353EF0" w:rsidRDefault="00F32EC7" w:rsidP="00F32EC7">
            <w:pPr>
              <w:pStyle w:val="TableDataEntries"/>
            </w:pPr>
            <w:r>
              <w:t>-1.8</w:t>
            </w:r>
          </w:p>
        </w:tc>
      </w:tr>
      <w:tr w:rsidR="00F32EC7" w:rsidRPr="00353EF0" w14:paraId="2D7526DD" w14:textId="77777777" w:rsidTr="00BF1DDE">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5C4A4F07" w14:textId="77777777" w:rsidR="00F32EC7" w:rsidRPr="00353EF0" w:rsidRDefault="00F32EC7" w:rsidP="00F32EC7">
            <w:pPr>
              <w:pStyle w:val="TableDataEntries"/>
              <w:jc w:val="left"/>
            </w:pPr>
            <w:r w:rsidRPr="00353EF0">
              <w:t>ANO 2015</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9C69AE2" w14:textId="165013F7" w:rsidR="00F32EC7" w:rsidRPr="00353EF0" w:rsidRDefault="00F32EC7" w:rsidP="00F32EC7">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33093B0" w14:textId="6E13D8FA" w:rsidR="00F32EC7" w:rsidRPr="00353EF0" w:rsidRDefault="00F32EC7" w:rsidP="00F32EC7">
            <w:pPr>
              <w:pStyle w:val="TableDataEntries"/>
            </w:pPr>
            <w:r w:rsidRPr="00F32EC7">
              <w:t>-4.2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99E9AA2" w14:textId="37F0969C" w:rsidR="00F32EC7" w:rsidRPr="00353EF0" w:rsidRDefault="00F32EC7" w:rsidP="00F32EC7">
            <w:pPr>
              <w:pStyle w:val="TableDataEntries"/>
            </w:pPr>
            <w:r>
              <w:t>-4.1</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49F0E93" w14:textId="3FE45701" w:rsidR="00F32EC7" w:rsidRPr="00353EF0" w:rsidRDefault="00F32EC7" w:rsidP="00F32EC7">
            <w:pPr>
              <w:pStyle w:val="TableDataEntries"/>
            </w:pPr>
            <w:r>
              <w:t>-4.0</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4FEC916" w14:textId="5442ECEA" w:rsidR="00F32EC7" w:rsidRPr="00353EF0" w:rsidRDefault="00F32EC7" w:rsidP="00F32EC7">
            <w:pPr>
              <w:pStyle w:val="TableDataEntries"/>
            </w:pPr>
            <w:r>
              <w:t>-3.8</w:t>
            </w:r>
          </w:p>
        </w:tc>
      </w:tr>
      <w:tr w:rsidR="00F32EC7" w:rsidRPr="00353EF0" w14:paraId="2E89CD34" w14:textId="77777777" w:rsidTr="00BF1DDE">
        <w:trPr>
          <w:trHeight w:val="255"/>
        </w:trPr>
        <w:tc>
          <w:tcPr>
            <w:tcW w:w="1560" w:type="dxa"/>
            <w:vMerge/>
            <w:shd w:val="clear" w:color="auto" w:fill="E9E8E5" w:themeFill="background2"/>
            <w:noWrap/>
            <w:tcMar>
              <w:left w:w="57" w:type="dxa"/>
              <w:right w:w="57" w:type="dxa"/>
            </w:tcMar>
            <w:hideMark/>
          </w:tcPr>
          <w:p w14:paraId="0260A5E9" w14:textId="6156A0B2" w:rsidR="00F32EC7" w:rsidRPr="00353EF0" w:rsidRDefault="00F32EC7" w:rsidP="00F32EC7">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0C982E8" w14:textId="2DC9A234" w:rsidR="00F32EC7" w:rsidRPr="00353EF0" w:rsidRDefault="00F32EC7" w:rsidP="00F32EC7">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DAFDF04" w14:textId="22988170" w:rsidR="00F32EC7" w:rsidRPr="00353EF0" w:rsidRDefault="00F32EC7" w:rsidP="00F32EC7">
            <w:pPr>
              <w:pStyle w:val="TableDataEntries"/>
            </w:pPr>
            <w:r>
              <w:t>-2.5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F0B7A0A" w14:textId="2391DEEF" w:rsidR="00F32EC7" w:rsidRPr="00353EF0" w:rsidRDefault="00F32EC7" w:rsidP="00F32EC7">
            <w:pPr>
              <w:pStyle w:val="TableDataEntries"/>
            </w:pPr>
            <w:r>
              <w:t>-2.4</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655A674" w14:textId="15673E87" w:rsidR="00F32EC7" w:rsidRPr="00353EF0" w:rsidRDefault="00F32EC7" w:rsidP="00F32EC7">
            <w:pPr>
              <w:pStyle w:val="TableDataEntries"/>
            </w:pPr>
            <w:r>
              <w:t>-2.4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0EDF7B4C" w14:textId="44765E20" w:rsidR="00F32EC7" w:rsidRPr="00353EF0" w:rsidRDefault="00F32EC7" w:rsidP="00F32EC7">
            <w:pPr>
              <w:pStyle w:val="TableDataEntries"/>
            </w:pPr>
            <w:r>
              <w:t>-2.4</w:t>
            </w:r>
          </w:p>
        </w:tc>
      </w:tr>
      <w:tr w:rsidR="00F32EC7" w:rsidRPr="00353EF0" w14:paraId="1B2F62E8" w14:textId="77777777" w:rsidTr="00573CCD">
        <w:trPr>
          <w:trHeight w:val="255"/>
        </w:trPr>
        <w:tc>
          <w:tcPr>
            <w:tcW w:w="1560" w:type="dxa"/>
            <w:vMerge/>
            <w:tcBorders>
              <w:bottom w:val="single" w:sz="4" w:space="0" w:color="auto"/>
            </w:tcBorders>
            <w:shd w:val="clear" w:color="auto" w:fill="E9E8E5" w:themeFill="background2"/>
            <w:noWrap/>
            <w:tcMar>
              <w:left w:w="57" w:type="dxa"/>
              <w:right w:w="57" w:type="dxa"/>
            </w:tcMar>
            <w:hideMark/>
          </w:tcPr>
          <w:p w14:paraId="77921F60" w14:textId="797D9F95" w:rsidR="00F32EC7" w:rsidRPr="00353EF0" w:rsidRDefault="00F32EC7" w:rsidP="00F32EC7">
            <w:pPr>
              <w:pStyle w:val="TableDataEntries"/>
              <w:jc w:val="left"/>
            </w:pPr>
          </w:p>
        </w:tc>
        <w:tc>
          <w:tcPr>
            <w:tcW w:w="1134"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3BCA9DC3" w14:textId="2C7B052E" w:rsidR="00F32EC7" w:rsidRPr="00353EF0" w:rsidRDefault="00F32EC7" w:rsidP="00F32EC7">
            <w:pPr>
              <w:pStyle w:val="TableDataEntries"/>
              <w:rPr>
                <w:i/>
              </w:rPr>
            </w:pPr>
            <w:r>
              <w:rPr>
                <w:i/>
              </w:rPr>
              <w:t>7.0 per cent</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67130D4A" w14:textId="3123D5A3" w:rsidR="00F32EC7" w:rsidRPr="00353EF0" w:rsidRDefault="00F32EC7" w:rsidP="00F32EC7">
            <w:pPr>
              <w:pStyle w:val="TableDataEntries"/>
            </w:pPr>
            <w:r>
              <w:t>-1.4</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60F1CCB6" w14:textId="6F27603D" w:rsidR="00F32EC7" w:rsidRPr="00353EF0" w:rsidRDefault="00F32EC7" w:rsidP="00F32EC7">
            <w:pPr>
              <w:pStyle w:val="TableDataEntries"/>
            </w:pPr>
            <w:r>
              <w:t>-1.4</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3747537C" w14:textId="336A7427" w:rsidR="00F32EC7" w:rsidRPr="00353EF0" w:rsidRDefault="00F32EC7" w:rsidP="00F32EC7">
            <w:pPr>
              <w:pStyle w:val="TableDataEntries"/>
            </w:pPr>
            <w:r>
              <w:t>-1.5</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465A8F11" w14:textId="5753E2E4" w:rsidR="00F32EC7" w:rsidRPr="00353EF0" w:rsidRDefault="00F32EC7" w:rsidP="00F32EC7">
            <w:pPr>
              <w:pStyle w:val="TableDataEntries"/>
            </w:pPr>
            <w:r>
              <w:t>-1.5</w:t>
            </w:r>
          </w:p>
        </w:tc>
      </w:tr>
    </w:tbl>
    <w:p w14:paraId="41B6607A" w14:textId="1A84E6A0" w:rsidR="008855F6" w:rsidRDefault="008F796A" w:rsidP="008F796A">
      <w:pPr>
        <w:pStyle w:val="Source"/>
        <w:rPr>
          <w:lang w:bidi="fa-IR"/>
        </w:rPr>
      </w:pPr>
      <w:r>
        <w:rPr>
          <w:lang w:bidi="fa-IR"/>
        </w:rPr>
        <w:t xml:space="preserve">Note: </w:t>
      </w:r>
      <w:r w:rsidR="008855F6">
        <w:rPr>
          <w:lang w:bidi="fa-IR"/>
        </w:rPr>
        <w:t>The academic reviewers for this project, and the CIE, consider that the 65 per cent scenario (and to a lesser extent the 55 per cent scenario) have some credibility issues associated with them in that they each involve a substantive slowing of abatement in the middle years of the period.</w:t>
      </w:r>
    </w:p>
    <w:p w14:paraId="3709384B" w14:textId="6498F89D" w:rsidR="00353EF0" w:rsidRDefault="00353EF0" w:rsidP="00353EF0">
      <w:pPr>
        <w:pStyle w:val="Source"/>
      </w:pPr>
      <w:r>
        <w:rPr>
          <w:i/>
        </w:rPr>
        <w:t>Source</w:t>
      </w:r>
      <w:r w:rsidRPr="00E4232C">
        <w:rPr>
          <w:i/>
        </w:rPr>
        <w:t>:</w:t>
      </w:r>
      <w:r>
        <w:t xml:space="preserve"> The CIE</w:t>
      </w:r>
    </w:p>
    <w:p w14:paraId="6C16952C" w14:textId="2A1055A2" w:rsidR="00F728EB" w:rsidRDefault="00F728EB" w:rsidP="00F728EB">
      <w:pPr>
        <w:pStyle w:val="Heading3"/>
        <w:rPr>
          <w:lang w:eastAsia="en-US"/>
        </w:rPr>
      </w:pPr>
      <w:r>
        <w:rPr>
          <w:lang w:eastAsia="en-US"/>
        </w:rPr>
        <w:t>Overall</w:t>
      </w:r>
    </w:p>
    <w:p w14:paraId="4FB1EC69" w14:textId="2E906FA7" w:rsidR="00F728EB" w:rsidRPr="00F728EB" w:rsidRDefault="00F728EB" w:rsidP="00F728EB">
      <w:pPr>
        <w:pStyle w:val="BodyText"/>
        <w:rPr>
          <w:lang w:eastAsia="en-US"/>
        </w:rPr>
      </w:pPr>
      <w:r>
        <w:rPr>
          <w:lang w:eastAsia="en-US"/>
        </w:rPr>
        <w:t xml:space="preserve">Overall, these results confirm </w:t>
      </w:r>
      <w:proofErr w:type="gramStart"/>
      <w:r>
        <w:rPr>
          <w:lang w:eastAsia="en-US"/>
        </w:rPr>
        <w:t>a number of</w:t>
      </w:r>
      <w:proofErr w:type="gramEnd"/>
      <w:r>
        <w:rPr>
          <w:lang w:eastAsia="en-US"/>
        </w:rPr>
        <w:t xml:space="preserve"> expected outcomes:</w:t>
      </w:r>
    </w:p>
    <w:p w14:paraId="5B869CB0" w14:textId="6E130E40" w:rsidR="00564F10" w:rsidRDefault="00564F10" w:rsidP="00F728EB">
      <w:pPr>
        <w:pStyle w:val="ListBullet"/>
        <w:rPr>
          <w:lang w:eastAsia="en-US"/>
        </w:rPr>
      </w:pPr>
      <w:r>
        <w:rPr>
          <w:lang w:eastAsia="en-US"/>
        </w:rPr>
        <w:t>With a higher discount rate, earlier abatement is more strongly preferred, although the absolute magnitude of the difference is very small.</w:t>
      </w:r>
    </w:p>
    <w:p w14:paraId="02546311" w14:textId="57339007" w:rsidR="00F728EB" w:rsidRDefault="00F728EB" w:rsidP="00F728EB">
      <w:pPr>
        <w:pStyle w:val="ListBullet"/>
        <w:rPr>
          <w:lang w:eastAsia="en-US"/>
        </w:rPr>
      </w:pPr>
      <w:r>
        <w:rPr>
          <w:lang w:eastAsia="en-US"/>
        </w:rPr>
        <w:t>With a steeper cost curve, the absolute value of the GSI loss is higher under all scenarios. This simply reflects the greater costs of technology switching.</w:t>
      </w:r>
    </w:p>
    <w:p w14:paraId="70294584" w14:textId="2658412A" w:rsidR="00F728EB" w:rsidRPr="00564F10" w:rsidRDefault="00F728EB" w:rsidP="00F728EB">
      <w:pPr>
        <w:pStyle w:val="ListBullet"/>
        <w:rPr>
          <w:lang w:eastAsia="en-US"/>
        </w:rPr>
      </w:pPr>
      <w:r>
        <w:rPr>
          <w:lang w:eastAsia="en-US"/>
        </w:rPr>
        <w:t>Under all combinations, the ranking of options (when they can be distinguished) remains the same.</w:t>
      </w:r>
    </w:p>
    <w:p w14:paraId="09C8E793" w14:textId="0D3600AA" w:rsidR="002753E2" w:rsidRDefault="00555AF3" w:rsidP="00555AF3">
      <w:pPr>
        <w:pStyle w:val="Heading2"/>
        <w:rPr>
          <w:lang w:bidi="fa-IR"/>
        </w:rPr>
      </w:pPr>
      <w:bookmarkStart w:id="224" w:name="_Toc9778457"/>
      <w:bookmarkEnd w:id="138"/>
      <w:r>
        <w:rPr>
          <w:lang w:bidi="fa-IR"/>
        </w:rPr>
        <w:t>Sensitivities</w:t>
      </w:r>
      <w:bookmarkEnd w:id="224"/>
    </w:p>
    <w:p w14:paraId="6BC4444F" w14:textId="014A209E" w:rsidR="00466976" w:rsidRPr="00466976" w:rsidRDefault="00466976" w:rsidP="00466976">
      <w:pPr>
        <w:pStyle w:val="Heading3"/>
        <w:rPr>
          <w:lang w:bidi="fa-IR"/>
        </w:rPr>
      </w:pPr>
      <w:r>
        <w:rPr>
          <w:lang w:bidi="fa-IR"/>
        </w:rPr>
        <w:t>Victoria</w:t>
      </w:r>
      <w:r w:rsidR="004813BC">
        <w:rPr>
          <w:lang w:bidi="fa-IR"/>
        </w:rPr>
        <w:t>n</w:t>
      </w:r>
      <w:r>
        <w:rPr>
          <w:lang w:bidi="fa-IR"/>
        </w:rPr>
        <w:t xml:space="preserve"> cost curve vs Australian cost curve</w:t>
      </w:r>
    </w:p>
    <w:p w14:paraId="05A7CF9E" w14:textId="3067A37A" w:rsidR="003E69FA" w:rsidRDefault="00C95E81" w:rsidP="00C95E81">
      <w:pPr>
        <w:pStyle w:val="BodyText"/>
        <w:rPr>
          <w:lang w:bidi="fa-IR"/>
        </w:rPr>
      </w:pPr>
      <w:r>
        <w:rPr>
          <w:lang w:bidi="fa-IR"/>
        </w:rPr>
        <w:t xml:space="preserve">In the above results, we have applied cost curves derived for Australia (from Treasury &amp; DIICSTRE </w:t>
      </w:r>
      <w:r w:rsidR="00DA28B8">
        <w:rPr>
          <w:lang w:bidi="fa-IR"/>
        </w:rPr>
        <w:t>2013</w:t>
      </w:r>
      <w:r>
        <w:rPr>
          <w:lang w:bidi="fa-IR"/>
        </w:rPr>
        <w:t xml:space="preserve"> and CSIRO 2015) to Victoria. We do this</w:t>
      </w:r>
      <w:r w:rsidR="00E947C0">
        <w:rPr>
          <w:lang w:bidi="fa-IR"/>
        </w:rPr>
        <w:t xml:space="preserve"> due to a lack of studies at the Victoria level. </w:t>
      </w:r>
      <w:r w:rsidR="003E69FA">
        <w:rPr>
          <w:lang w:bidi="fa-IR"/>
        </w:rPr>
        <w:t>Given the purposes of this study, this is broadly reasonable if t</w:t>
      </w:r>
      <w:r w:rsidR="00F175B9">
        <w:rPr>
          <w:lang w:bidi="fa-IR"/>
        </w:rPr>
        <w:t xml:space="preserve">he cost curve for Victoria is of </w:t>
      </w:r>
      <w:r w:rsidR="003E69FA">
        <w:rPr>
          <w:lang w:bidi="fa-IR"/>
        </w:rPr>
        <w:t xml:space="preserve">a </w:t>
      </w:r>
      <w:r w:rsidR="00F175B9">
        <w:rPr>
          <w:lang w:bidi="fa-IR"/>
        </w:rPr>
        <w:t xml:space="preserve">similar steepness to the cost curve for Australia. </w:t>
      </w:r>
      <w:r w:rsidR="0041559F">
        <w:rPr>
          <w:lang w:bidi="fa-IR"/>
        </w:rPr>
        <w:t xml:space="preserve">Our starting position is that </w:t>
      </w:r>
      <w:r w:rsidR="003E69FA">
        <w:rPr>
          <w:lang w:bidi="fa-IR"/>
        </w:rPr>
        <w:t>this is</w:t>
      </w:r>
      <w:r w:rsidR="0041559F">
        <w:rPr>
          <w:lang w:bidi="fa-IR"/>
        </w:rPr>
        <w:t xml:space="preserve"> likely to be true. While Victoria starts with some sectors that will be relatively hard hit if emissions decline (certainly coal fired electricity generation and probably some sectors of manufacturing) – </w:t>
      </w:r>
      <w:r w:rsidR="00757CAF">
        <w:rPr>
          <w:lang w:bidi="fa-IR"/>
        </w:rPr>
        <w:t>what will ultimately drive long-run economic impacts is the flexibility of markets, businesses and households, including the ability to respond to changing incentives</w:t>
      </w:r>
      <w:r w:rsidR="003E69FA">
        <w:rPr>
          <w:lang w:bidi="fa-IR"/>
        </w:rPr>
        <w:t xml:space="preserve"> (inflexibility implies high costs, while flexibility implies low costs)</w:t>
      </w:r>
      <w:r w:rsidR="00757CAF">
        <w:rPr>
          <w:lang w:bidi="fa-IR"/>
        </w:rPr>
        <w:t xml:space="preserve">. For the purposes of making long-run forecasts, it is reasonable to assume the Australian states are </w:t>
      </w:r>
      <w:r w:rsidR="003E69FA">
        <w:rPr>
          <w:lang w:bidi="fa-IR"/>
        </w:rPr>
        <w:t>have similar levels of flexibility.</w:t>
      </w:r>
    </w:p>
    <w:p w14:paraId="68C59BE5" w14:textId="75810C28" w:rsidR="00F175B9" w:rsidRDefault="0041559F" w:rsidP="00C95E81">
      <w:pPr>
        <w:pStyle w:val="BodyText"/>
        <w:rPr>
          <w:lang w:bidi="fa-IR"/>
        </w:rPr>
      </w:pPr>
      <w:r>
        <w:rPr>
          <w:lang w:bidi="fa-IR"/>
        </w:rPr>
        <w:lastRenderedPageBreak/>
        <w:t xml:space="preserve">Chart </w:t>
      </w:r>
      <w:r>
        <w:rPr>
          <w:lang w:bidi="fa-IR"/>
        </w:rPr>
        <w:fldChar w:fldCharType="begin"/>
      </w:r>
      <w:r>
        <w:rPr>
          <w:lang w:bidi="fa-IR"/>
        </w:rPr>
        <w:instrText xml:space="preserve"> REF _Caption5874 </w:instrText>
      </w:r>
      <w:r>
        <w:rPr>
          <w:lang w:bidi="fa-IR"/>
        </w:rPr>
        <w:fldChar w:fldCharType="separate"/>
      </w:r>
      <w:r w:rsidR="00ED1D13">
        <w:rPr>
          <w:noProof/>
        </w:rPr>
        <w:t>3</w:t>
      </w:r>
      <w:r w:rsidR="00ED1D13" w:rsidRPr="00695C93">
        <w:rPr>
          <w:noProof/>
        </w:rPr>
        <w:t>.</w:t>
      </w:r>
      <w:r w:rsidR="00ED1D13">
        <w:rPr>
          <w:noProof/>
        </w:rPr>
        <w:t>8</w:t>
      </w:r>
      <w:r>
        <w:rPr>
          <w:lang w:bidi="fa-IR"/>
        </w:rPr>
        <w:fldChar w:fldCharType="end"/>
      </w:r>
      <w:r>
        <w:rPr>
          <w:lang w:bidi="fa-IR"/>
        </w:rPr>
        <w:t xml:space="preserve"> shows cost curves taken from a single study (Treasury 2008) for Australia (deviation in GDP vs deviation in emissions) and for Victoria (deviation in GSP vs deviation in emissions). Overall, it shows the cost curves for Victoria and Australia are of similar steepness </w:t>
      </w:r>
      <w:r w:rsidR="003E69FA">
        <w:rPr>
          <w:lang w:bidi="fa-IR"/>
        </w:rPr>
        <w:t>for</w:t>
      </w:r>
      <w:r>
        <w:rPr>
          <w:lang w:bidi="fa-IR"/>
        </w:rPr>
        <w:t xml:space="preserve"> the </w:t>
      </w:r>
      <w:proofErr w:type="gramStart"/>
      <w:r>
        <w:rPr>
          <w:lang w:bidi="fa-IR"/>
        </w:rPr>
        <w:t>vast majority</w:t>
      </w:r>
      <w:proofErr w:type="gramEnd"/>
      <w:r>
        <w:rPr>
          <w:lang w:bidi="fa-IR"/>
        </w:rPr>
        <w:t xml:space="preserve"> of emissions reduction</w:t>
      </w:r>
      <w:r w:rsidR="003E69FA">
        <w:rPr>
          <w:lang w:bidi="fa-IR"/>
        </w:rPr>
        <w:t xml:space="preserve"> levels </w:t>
      </w:r>
      <w:r>
        <w:rPr>
          <w:lang w:bidi="fa-IR"/>
        </w:rPr>
        <w:t xml:space="preserve">(though the Australian cost curve may be slightly steeper at higher levels of emissions reduction). </w:t>
      </w:r>
      <w:r w:rsidR="00F175B9">
        <w:rPr>
          <w:lang w:bidi="fa-IR"/>
        </w:rPr>
        <w:t xml:space="preserve">Our interpretation is that Chart </w:t>
      </w:r>
      <w:r w:rsidR="00F175B9">
        <w:rPr>
          <w:lang w:bidi="fa-IR"/>
        </w:rPr>
        <w:fldChar w:fldCharType="begin"/>
      </w:r>
      <w:r w:rsidR="00F175B9">
        <w:rPr>
          <w:lang w:bidi="fa-IR"/>
        </w:rPr>
        <w:instrText xml:space="preserve"> REF _Caption5874 </w:instrText>
      </w:r>
      <w:r w:rsidR="00F175B9">
        <w:rPr>
          <w:lang w:bidi="fa-IR"/>
        </w:rPr>
        <w:fldChar w:fldCharType="separate"/>
      </w:r>
      <w:r w:rsidR="00ED1D13">
        <w:rPr>
          <w:noProof/>
        </w:rPr>
        <w:t>3</w:t>
      </w:r>
      <w:r w:rsidR="00ED1D13" w:rsidRPr="00695C93">
        <w:rPr>
          <w:noProof/>
        </w:rPr>
        <w:t>.</w:t>
      </w:r>
      <w:r w:rsidR="00ED1D13">
        <w:rPr>
          <w:noProof/>
        </w:rPr>
        <w:t>8</w:t>
      </w:r>
      <w:r w:rsidR="00F175B9">
        <w:rPr>
          <w:lang w:bidi="fa-IR"/>
        </w:rPr>
        <w:fldChar w:fldCharType="end"/>
      </w:r>
      <w:r w:rsidR="00F175B9">
        <w:rPr>
          <w:lang w:bidi="fa-IR"/>
        </w:rPr>
        <w:t xml:space="preserve"> does not provide </w:t>
      </w:r>
      <w:proofErr w:type="gramStart"/>
      <w:r w:rsidR="00F175B9">
        <w:rPr>
          <w:lang w:bidi="fa-IR"/>
        </w:rPr>
        <w:t>sufficient</w:t>
      </w:r>
      <w:proofErr w:type="gramEnd"/>
      <w:r w:rsidR="00F175B9">
        <w:rPr>
          <w:lang w:bidi="fa-IR"/>
        </w:rPr>
        <w:t xml:space="preserve"> evidence </w:t>
      </w:r>
      <w:r w:rsidR="00757CAF">
        <w:rPr>
          <w:lang w:bidi="fa-IR"/>
        </w:rPr>
        <w:t xml:space="preserve">to conclude the steepness of the cost curve in Victoria is fundamentally different to the </w:t>
      </w:r>
      <w:r w:rsidR="003E69FA">
        <w:rPr>
          <w:lang w:bidi="fa-IR"/>
        </w:rPr>
        <w:t xml:space="preserve">steepness of the </w:t>
      </w:r>
      <w:r w:rsidR="00757CAF">
        <w:rPr>
          <w:lang w:bidi="fa-IR"/>
        </w:rPr>
        <w:t>cost curve in Australia.</w:t>
      </w:r>
    </w:p>
    <w:p w14:paraId="5B9008B3" w14:textId="59C691FF" w:rsidR="00555AF3" w:rsidRPr="00695C93" w:rsidRDefault="00555AF3" w:rsidP="005800E2">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w:instrText>
      </w:r>
      <w:r w:rsidRPr="00695C93">
        <w:fldChar w:fldCharType="separate"/>
      </w:r>
      <w:r w:rsidR="00ED1D13">
        <w:rPr>
          <w:noProof/>
        </w:rPr>
        <w:instrText>3</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3</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3</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8</w:instrText>
      </w:r>
      <w:r w:rsidRPr="00695C93">
        <w:fldChar w:fldCharType="end"/>
      </w:r>
      <w:r w:rsidRPr="00695C93">
        <w:instrText xml:space="preserve">" "" </w:instrText>
      </w:r>
      <w:r w:rsidRPr="00695C93">
        <w:fldChar w:fldCharType="separate"/>
      </w:r>
      <w:bookmarkStart w:id="225" w:name="_Caption4237"/>
      <w:bookmarkStart w:id="226" w:name="_Caption7773"/>
      <w:bookmarkStart w:id="227" w:name="_Caption7233"/>
      <w:bookmarkStart w:id="228" w:name="_Caption5158"/>
      <w:bookmarkStart w:id="229" w:name="_Caption4218"/>
      <w:bookmarkStart w:id="230" w:name="_Caption3118"/>
      <w:bookmarkStart w:id="231" w:name="_Caption9887"/>
      <w:bookmarkStart w:id="232" w:name="_Caption0810"/>
      <w:bookmarkStart w:id="233" w:name="_Caption3061"/>
      <w:bookmarkStart w:id="234" w:name="_Caption5951"/>
      <w:bookmarkStart w:id="235" w:name="_Caption5874"/>
      <w:bookmarkStart w:id="236" w:name="_Caption9231"/>
      <w:bookmarkStart w:id="237" w:name="_Caption0529"/>
      <w:bookmarkStart w:id="238" w:name="_Caption1509"/>
      <w:bookmarkStart w:id="239" w:name="_Caption4106"/>
      <w:bookmarkStart w:id="240" w:name="_Caption2104"/>
      <w:bookmarkStart w:id="241" w:name="_Caption1810"/>
      <w:bookmarkStart w:id="242" w:name="_Caption7130"/>
      <w:bookmarkStart w:id="243" w:name="_Caption8718"/>
      <w:bookmarkStart w:id="244" w:name="_Caption2247"/>
      <w:bookmarkStart w:id="245" w:name="_Caption3874"/>
      <w:bookmarkStart w:id="246" w:name="_Caption6532"/>
      <w:bookmarkStart w:id="247" w:name="_Caption8939"/>
      <w:bookmarkStart w:id="248" w:name="_Caption1948"/>
      <w:bookmarkStart w:id="249" w:name="_Caption0159"/>
      <w:bookmarkStart w:id="250" w:name="_Caption2783"/>
      <w:bookmarkStart w:id="251" w:name="_Caption2936"/>
      <w:bookmarkStart w:id="252" w:name="_Caption6665"/>
      <w:bookmarkStart w:id="253" w:name="_Caption4465"/>
      <w:bookmarkStart w:id="254" w:name="_Toc9778476"/>
      <w:r w:rsidR="008A2B2B">
        <w:rPr>
          <w:noProof/>
        </w:rPr>
        <w:t>3</w:t>
      </w:r>
      <w:r w:rsidR="008A2B2B" w:rsidRPr="00695C93">
        <w:rPr>
          <w:noProof/>
        </w:rPr>
        <w:t>.</w:t>
      </w:r>
      <w:r w:rsidR="008A2B2B">
        <w:rPr>
          <w:noProof/>
        </w:rPr>
        <w:t>8</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695C93">
        <w:fldChar w:fldCharType="end"/>
      </w:r>
      <w:r w:rsidRPr="00695C93">
        <w:tab/>
      </w:r>
      <w:r w:rsidR="00E947C0">
        <w:t>Cost curves for the reduction of emissions (by jurisdiction level)</w:t>
      </w:r>
      <w:bookmarkEnd w:id="254"/>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555AF3" w14:paraId="0DC1DE76" w14:textId="77777777" w:rsidTr="005800E2">
        <w:trPr>
          <w:cantSplit/>
        </w:trPr>
        <w:tc>
          <w:tcPr>
            <w:tcW w:w="7938" w:type="dxa"/>
            <w:shd w:val="clear" w:color="auto" w:fill="E9E8E5" w:themeFill="background2"/>
          </w:tcPr>
          <w:p w14:paraId="3FAA9278" w14:textId="3F31BF06" w:rsidR="00555AF3" w:rsidRDefault="00F175B9" w:rsidP="00F175B9">
            <w:pPr>
              <w:pStyle w:val="Chart"/>
              <w:jc w:val="center"/>
            </w:pPr>
            <w:r w:rsidRPr="00F175B9">
              <w:rPr>
                <w:noProof/>
              </w:rPr>
              <w:drawing>
                <wp:inline distT="0" distB="0" distL="0" distR="0" wp14:anchorId="49D5D0FC" wp14:editId="4AA88CE3">
                  <wp:extent cx="4921885" cy="2544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1885" cy="2544445"/>
                          </a:xfrm>
                          <a:prstGeom prst="rect">
                            <a:avLst/>
                          </a:prstGeom>
                          <a:noFill/>
                          <a:ln>
                            <a:noFill/>
                          </a:ln>
                        </pic:spPr>
                      </pic:pic>
                    </a:graphicData>
                  </a:graphic>
                </wp:inline>
              </w:drawing>
            </w:r>
          </w:p>
        </w:tc>
      </w:tr>
    </w:tbl>
    <w:p w14:paraId="43223E22" w14:textId="71830A8B" w:rsidR="00555AF3" w:rsidRDefault="00555AF3" w:rsidP="005800E2">
      <w:pPr>
        <w:pStyle w:val="Source"/>
      </w:pPr>
      <w:r>
        <w:rPr>
          <w:i/>
        </w:rPr>
        <w:t>Data source</w:t>
      </w:r>
      <w:r w:rsidRPr="00A67576">
        <w:rPr>
          <w:i/>
        </w:rPr>
        <w:t>:</w:t>
      </w:r>
      <w:r>
        <w:t xml:space="preserve"> </w:t>
      </w:r>
      <w:r w:rsidR="00E947C0">
        <w:t>Treasury studies, as noted; The CIE</w:t>
      </w:r>
    </w:p>
    <w:p w14:paraId="66FB30E0" w14:textId="20ADD25A" w:rsidR="00466976" w:rsidRDefault="00466976" w:rsidP="00466976">
      <w:pPr>
        <w:pStyle w:val="Heading3"/>
        <w:rPr>
          <w:lang w:bidi="fa-IR"/>
        </w:rPr>
      </w:pPr>
      <w:r>
        <w:rPr>
          <w:lang w:bidi="fa-IR"/>
        </w:rPr>
        <w:t>The use of different economic measures</w:t>
      </w:r>
    </w:p>
    <w:p w14:paraId="2C17F3F3" w14:textId="792AF097" w:rsidR="00973C59" w:rsidRDefault="00973C59" w:rsidP="00466976">
      <w:pPr>
        <w:pStyle w:val="BodyText"/>
        <w:rPr>
          <w:lang w:bidi="fa-IR"/>
        </w:rPr>
      </w:pPr>
      <w:r>
        <w:rPr>
          <w:lang w:bidi="fa-IR"/>
        </w:rPr>
        <w:t xml:space="preserve">Some of the studies we draw on provide different measures for the cost of emissions reductions. </w:t>
      </w:r>
      <w:proofErr w:type="gramStart"/>
      <w:r>
        <w:rPr>
          <w:lang w:bidi="fa-IR"/>
        </w:rPr>
        <w:t>In particular, some</w:t>
      </w:r>
      <w:proofErr w:type="gramEnd"/>
      <w:r>
        <w:rPr>
          <w:lang w:bidi="fa-IR"/>
        </w:rPr>
        <w:t xml:space="preserve"> report changes in real consumption rather than changes in GSI. Our analysis indicates that using alternative costs measures, where available does not change the results presented above.</w:t>
      </w:r>
    </w:p>
    <w:p w14:paraId="44887CCE" w14:textId="6DE5DB43" w:rsidR="007A5A18" w:rsidRDefault="007A5A18" w:rsidP="007A5A18">
      <w:pPr>
        <w:pStyle w:val="Heading3"/>
        <w:rPr>
          <w:lang w:bidi="fa-IR"/>
        </w:rPr>
      </w:pPr>
      <w:r>
        <w:rPr>
          <w:lang w:bidi="fa-IR"/>
        </w:rPr>
        <w:t xml:space="preserve">Endogenous behaviour of Victorian </w:t>
      </w:r>
      <w:r w:rsidR="002B71A8">
        <w:rPr>
          <w:lang w:bidi="fa-IR"/>
        </w:rPr>
        <w:t>households</w:t>
      </w:r>
      <w:r>
        <w:rPr>
          <w:lang w:bidi="fa-IR"/>
        </w:rPr>
        <w:t xml:space="preserve"> and businesses</w:t>
      </w:r>
    </w:p>
    <w:p w14:paraId="3023F0AC" w14:textId="611A1445" w:rsidR="003F76F4" w:rsidRDefault="00973C59" w:rsidP="007A5A18">
      <w:pPr>
        <w:pStyle w:val="BodyText"/>
        <w:rPr>
          <w:lang w:bidi="fa-IR"/>
        </w:rPr>
      </w:pPr>
      <w:proofErr w:type="gramStart"/>
      <w:r>
        <w:rPr>
          <w:lang w:bidi="fa-IR"/>
        </w:rPr>
        <w:t>A number of</w:t>
      </w:r>
      <w:proofErr w:type="gramEnd"/>
      <w:r>
        <w:rPr>
          <w:lang w:bidi="fa-IR"/>
        </w:rPr>
        <w:t xml:space="preserve"> economic studies</w:t>
      </w:r>
      <w:r w:rsidR="002B71A8">
        <w:rPr>
          <w:lang w:bidi="fa-IR"/>
        </w:rPr>
        <w:t xml:space="preserve"> use the Monash Multi-Region Forecasting (MMRF) model (or a variant) to generate results. This model does not allow households and businesses to adjust their behaviour in anticipation of policy changes that are announced before they are implemented (they are not ‘forward looking’). </w:t>
      </w:r>
    </w:p>
    <w:p w14:paraId="68A49E68" w14:textId="52443D76" w:rsidR="007A5A18" w:rsidRDefault="003F76F4" w:rsidP="007A5A18">
      <w:pPr>
        <w:pStyle w:val="BodyText"/>
        <w:rPr>
          <w:lang w:bidi="fa-IR"/>
        </w:rPr>
      </w:pPr>
      <w:r>
        <w:rPr>
          <w:lang w:bidi="fa-IR"/>
        </w:rPr>
        <w:t xml:space="preserve">This aspect of household and firm behaviour makes our interpretation and application of the results reasonable: we treat the relationship between economic impacts and emissions reduction derived from the modelling results (shown </w:t>
      </w:r>
      <w:r w:rsidR="00D50CA4">
        <w:rPr>
          <w:lang w:bidi="fa-IR"/>
        </w:rPr>
        <w:t xml:space="preserve">here </w:t>
      </w:r>
      <w:r>
        <w:rPr>
          <w:lang w:bidi="fa-IR"/>
        </w:rPr>
        <w:t>as a cost curve) as essentially a static curve, which we apply to projections of emissions reduction over time.</w:t>
      </w:r>
    </w:p>
    <w:p w14:paraId="03AC146D" w14:textId="72BAB846" w:rsidR="00AB56DD" w:rsidRDefault="00AB56DD" w:rsidP="00AB56DD">
      <w:pPr>
        <w:pStyle w:val="Heading2"/>
        <w:rPr>
          <w:lang w:bidi="fa-IR"/>
        </w:rPr>
      </w:pPr>
      <w:bookmarkStart w:id="255" w:name="_Toc9778458"/>
      <w:r>
        <w:rPr>
          <w:lang w:bidi="fa-IR"/>
        </w:rPr>
        <w:lastRenderedPageBreak/>
        <w:t>Final comment: a bottom-up approach?</w:t>
      </w:r>
      <w:bookmarkEnd w:id="255"/>
    </w:p>
    <w:p w14:paraId="2B0AC5CD" w14:textId="4B0A9E2B" w:rsidR="00AB56DD" w:rsidRDefault="00AB56DD" w:rsidP="00AB56DD">
      <w:pPr>
        <w:pStyle w:val="BodyText"/>
        <w:rPr>
          <w:lang w:bidi="fa-IR"/>
        </w:rPr>
      </w:pPr>
      <w:r>
        <w:rPr>
          <w:lang w:bidi="fa-IR"/>
        </w:rPr>
        <w:t>T</w:t>
      </w:r>
      <w:r w:rsidR="00BB13C1">
        <w:rPr>
          <w:lang w:bidi="fa-IR"/>
        </w:rPr>
        <w:t>he emissions projection paths being considered by the panel a</w:t>
      </w:r>
      <w:r>
        <w:rPr>
          <w:lang w:bidi="fa-IR"/>
        </w:rPr>
        <w:t>re predicated on a ‘</w:t>
      </w:r>
      <w:r w:rsidR="005D09E2">
        <w:rPr>
          <w:lang w:bidi="fa-IR"/>
        </w:rPr>
        <w:t>top-down</w:t>
      </w:r>
      <w:r>
        <w:rPr>
          <w:lang w:bidi="fa-IR"/>
        </w:rPr>
        <w:t xml:space="preserve">’ view </w:t>
      </w:r>
      <w:r w:rsidR="00BB13C1">
        <w:rPr>
          <w:lang w:bidi="fa-IR"/>
        </w:rPr>
        <w:t>of</w:t>
      </w:r>
      <w:r>
        <w:rPr>
          <w:lang w:bidi="fa-IR"/>
        </w:rPr>
        <w:t xml:space="preserve"> emissions reduction. A path for the whole economy is set, and individual industries and households integrate into this plan.</w:t>
      </w:r>
    </w:p>
    <w:p w14:paraId="17482BCD" w14:textId="2099A886" w:rsidR="00593E38" w:rsidRDefault="003E69FA" w:rsidP="00AB56DD">
      <w:pPr>
        <w:pStyle w:val="BodyText"/>
        <w:rPr>
          <w:lang w:bidi="fa-IR"/>
        </w:rPr>
      </w:pPr>
      <w:r>
        <w:rPr>
          <w:lang w:bidi="fa-IR"/>
        </w:rPr>
        <w:t>The</w:t>
      </w:r>
      <w:r w:rsidR="00AB56DD">
        <w:rPr>
          <w:lang w:bidi="fa-IR"/>
        </w:rPr>
        <w:t xml:space="preserve"> cost of adopting low emissions </w:t>
      </w:r>
      <w:r w:rsidR="004E080F">
        <w:rPr>
          <w:lang w:bidi="fa-IR"/>
        </w:rPr>
        <w:t xml:space="preserve">technologies </w:t>
      </w:r>
      <w:r w:rsidR="00FC005E">
        <w:rPr>
          <w:lang w:bidi="fa-IR"/>
        </w:rPr>
        <w:t xml:space="preserve">in individual industries </w:t>
      </w:r>
      <w:r w:rsidR="004E080F">
        <w:rPr>
          <w:lang w:bidi="fa-IR"/>
        </w:rPr>
        <w:t>will depend on the existence</w:t>
      </w:r>
      <w:r w:rsidR="00343F68">
        <w:rPr>
          <w:lang w:bidi="fa-IR"/>
        </w:rPr>
        <w:t xml:space="preserve">, timing </w:t>
      </w:r>
      <w:r w:rsidR="004E080F">
        <w:rPr>
          <w:lang w:bidi="fa-IR"/>
        </w:rPr>
        <w:t xml:space="preserve">and quality of government policies that facilitate their integration </w:t>
      </w:r>
      <w:r w:rsidR="00FC005E">
        <w:rPr>
          <w:lang w:bidi="fa-IR"/>
        </w:rPr>
        <w:t>in individual industries</w:t>
      </w:r>
      <w:r w:rsidR="004E080F">
        <w:rPr>
          <w:lang w:bidi="fa-IR"/>
        </w:rPr>
        <w:t>. This may create an opportunity to take a ‘</w:t>
      </w:r>
      <w:r w:rsidR="005D09E2">
        <w:rPr>
          <w:lang w:bidi="fa-IR"/>
        </w:rPr>
        <w:t>bottom-up</w:t>
      </w:r>
      <w:r w:rsidR="004E080F">
        <w:rPr>
          <w:lang w:bidi="fa-IR"/>
        </w:rPr>
        <w:t xml:space="preserve">’ approach to planning emissions reduction. Drawing on work from, for example, </w:t>
      </w:r>
      <w:proofErr w:type="spellStart"/>
      <w:r w:rsidR="004E080F">
        <w:rPr>
          <w:lang w:bidi="fa-IR"/>
        </w:rPr>
        <w:t>ClimateWorks</w:t>
      </w:r>
      <w:proofErr w:type="spellEnd"/>
      <w:r w:rsidR="004E080F">
        <w:rPr>
          <w:rStyle w:val="FootnoteReference"/>
          <w:lang w:bidi="fa-IR"/>
        </w:rPr>
        <w:footnoteReference w:id="7"/>
      </w:r>
      <w:r w:rsidR="004E080F">
        <w:rPr>
          <w:lang w:bidi="fa-IR"/>
        </w:rPr>
        <w:t xml:space="preserve">, the panel could identify </w:t>
      </w:r>
      <w:r w:rsidR="00593E38">
        <w:rPr>
          <w:lang w:bidi="fa-IR"/>
        </w:rPr>
        <w:t>individual</w:t>
      </w:r>
      <w:r w:rsidR="004E080F">
        <w:rPr>
          <w:lang w:bidi="fa-IR"/>
        </w:rPr>
        <w:t xml:space="preserve"> industries and sectors where emissions reduction could occur </w:t>
      </w:r>
      <w:r w:rsidR="00BB13C1">
        <w:rPr>
          <w:lang w:bidi="fa-IR"/>
        </w:rPr>
        <w:t xml:space="preserve">through the adoption of new technology </w:t>
      </w:r>
      <w:r w:rsidR="004E080F">
        <w:rPr>
          <w:lang w:bidi="fa-IR"/>
        </w:rPr>
        <w:t>(e.g. ele</w:t>
      </w:r>
      <w:r w:rsidR="00593E38">
        <w:rPr>
          <w:lang w:bidi="fa-IR"/>
        </w:rPr>
        <w:t>ctricity, private transport, households, public</w:t>
      </w:r>
      <w:r w:rsidR="004E097D">
        <w:rPr>
          <w:lang w:bidi="fa-IR"/>
        </w:rPr>
        <w:t xml:space="preserve"> </w:t>
      </w:r>
      <w:r w:rsidR="00593E38">
        <w:rPr>
          <w:lang w:bidi="fa-IR"/>
        </w:rPr>
        <w:t xml:space="preserve">transport-planning, forests, agriculture) and the specific policies that are required </w:t>
      </w:r>
      <w:r w:rsidR="00FC005E">
        <w:rPr>
          <w:lang w:bidi="fa-IR"/>
        </w:rPr>
        <w:t>for</w:t>
      </w:r>
      <w:r w:rsidR="00593E38">
        <w:rPr>
          <w:lang w:bidi="fa-IR"/>
        </w:rPr>
        <w:t xml:space="preserve"> </w:t>
      </w:r>
      <w:r w:rsidR="00BB13C1">
        <w:rPr>
          <w:lang w:bidi="fa-IR"/>
        </w:rPr>
        <w:t xml:space="preserve">these </w:t>
      </w:r>
      <w:r w:rsidR="00593E38">
        <w:rPr>
          <w:lang w:bidi="fa-IR"/>
        </w:rPr>
        <w:t xml:space="preserve">technologies to be </w:t>
      </w:r>
      <w:r w:rsidR="00D50CA4">
        <w:rPr>
          <w:lang w:bidi="fa-IR"/>
        </w:rPr>
        <w:t xml:space="preserve">adopted and </w:t>
      </w:r>
      <w:r w:rsidR="00593E38">
        <w:rPr>
          <w:lang w:bidi="fa-IR"/>
        </w:rPr>
        <w:t>integrated into the economy (policy set X, policy set Y, etc., respectively).</w:t>
      </w:r>
      <w:r w:rsidR="00D50CA4">
        <w:rPr>
          <w:lang w:bidi="fa-IR"/>
        </w:rPr>
        <w:t xml:space="preserve"> </w:t>
      </w:r>
      <w:r w:rsidR="00593E38">
        <w:rPr>
          <w:lang w:bidi="fa-IR"/>
        </w:rPr>
        <w:t>The panel could then recommend a path for emissions reduction in individual sectors, in order, predicated on the implementation of the relevant policy sets, in order.</w:t>
      </w:r>
      <w:r w:rsidR="00D50CA4">
        <w:rPr>
          <w:lang w:bidi="fa-IR"/>
        </w:rPr>
        <w:t xml:space="preserve"> </w:t>
      </w:r>
      <w:r w:rsidR="00BB13C1">
        <w:rPr>
          <w:lang w:bidi="fa-IR"/>
        </w:rPr>
        <w:t>The total path would amount to an emissions reduction path for the whole economy.</w:t>
      </w:r>
    </w:p>
    <w:p w14:paraId="226759E6" w14:textId="471C5F74" w:rsidR="00AB56DD" w:rsidRPr="005D09E2" w:rsidRDefault="00D33F95" w:rsidP="00AB56DD">
      <w:pPr>
        <w:pStyle w:val="BodyText"/>
        <w:rPr>
          <w:lang w:bidi="fa-IR"/>
        </w:rPr>
      </w:pPr>
      <w:r>
        <w:rPr>
          <w:lang w:bidi="fa-IR"/>
        </w:rPr>
        <w:t>The Department</w:t>
      </w:r>
      <w:r w:rsidR="005D09E2">
        <w:rPr>
          <w:lang w:bidi="fa-IR"/>
        </w:rPr>
        <w:t xml:space="preserve"> note</w:t>
      </w:r>
      <w:r>
        <w:rPr>
          <w:lang w:bidi="fa-IR"/>
        </w:rPr>
        <w:t xml:space="preserve">s </w:t>
      </w:r>
      <w:r w:rsidR="005D09E2" w:rsidRPr="00D33F95">
        <w:t>The Climate Change Act 2017 assumes that the detailed policy development comes after the targets are set</w:t>
      </w:r>
      <w:r>
        <w:t xml:space="preserve">, which may limit the scope to apply a bottom-up approach. </w:t>
      </w:r>
    </w:p>
    <w:p w14:paraId="49E33E8D" w14:textId="77777777" w:rsidR="004E080F" w:rsidRPr="00AB56DD" w:rsidRDefault="004E080F" w:rsidP="00AB56DD">
      <w:pPr>
        <w:pStyle w:val="BodyText"/>
        <w:rPr>
          <w:lang w:bidi="fa-IR"/>
        </w:rPr>
      </w:pPr>
    </w:p>
    <w:p w14:paraId="42171E43" w14:textId="77777777" w:rsidR="00555AF3" w:rsidRPr="00555AF3" w:rsidRDefault="00555AF3" w:rsidP="00555AF3">
      <w:pPr>
        <w:pStyle w:val="BodyText"/>
        <w:rPr>
          <w:lang w:bidi="fa-IR"/>
        </w:rPr>
      </w:pPr>
    </w:p>
    <w:p w14:paraId="49650AF6" w14:textId="388449EA" w:rsidR="00291652" w:rsidRDefault="00291652" w:rsidP="00F27514">
      <w:pPr>
        <w:pStyle w:val="Heading1"/>
        <w:rPr>
          <w:lang w:bidi="fa-IR"/>
        </w:rPr>
      </w:pPr>
      <w:bookmarkStart w:id="256" w:name="_Toc9778459"/>
      <w:r>
        <w:rPr>
          <w:lang w:bidi="fa-IR"/>
        </w:rPr>
        <w:lastRenderedPageBreak/>
        <w:t>Factors outside the models</w:t>
      </w:r>
      <w:r w:rsidR="00F52A86">
        <w:rPr>
          <w:lang w:bidi="fa-IR"/>
        </w:rPr>
        <w:t xml:space="preserve"> which impact the cost curve</w:t>
      </w:r>
      <w:bookmarkEnd w:id="256"/>
    </w:p>
    <w:p w14:paraId="272C674B" w14:textId="7CCF6CE4" w:rsidR="006925EF" w:rsidRDefault="00291652" w:rsidP="00291652">
      <w:pPr>
        <w:pStyle w:val="BodyText"/>
        <w:rPr>
          <w:lang w:bidi="fa-IR"/>
        </w:rPr>
      </w:pPr>
      <w:r>
        <w:rPr>
          <w:lang w:bidi="fa-IR"/>
        </w:rPr>
        <w:t xml:space="preserve">The </w:t>
      </w:r>
      <w:r w:rsidR="00974BF9">
        <w:rPr>
          <w:lang w:bidi="fa-IR"/>
        </w:rPr>
        <w:t>left-hand</w:t>
      </w:r>
      <w:r>
        <w:rPr>
          <w:lang w:bidi="fa-IR"/>
        </w:rPr>
        <w:t xml:space="preserve"> columns in Table </w:t>
      </w:r>
      <w:r>
        <w:rPr>
          <w:lang w:bidi="fa-IR"/>
        </w:rPr>
        <w:fldChar w:fldCharType="begin"/>
      </w:r>
      <w:r>
        <w:rPr>
          <w:lang w:bidi="fa-IR"/>
        </w:rPr>
        <w:instrText xml:space="preserve"> REF _Caption8849 </w:instrText>
      </w:r>
      <w:r>
        <w:rPr>
          <w:lang w:bidi="fa-IR"/>
        </w:rPr>
        <w:fldChar w:fldCharType="separate"/>
      </w:r>
      <w:r w:rsidR="00ED1D13">
        <w:rPr>
          <w:noProof/>
        </w:rPr>
        <w:t>4</w:t>
      </w:r>
      <w:r w:rsidR="00ED1D13" w:rsidRPr="00695C93">
        <w:rPr>
          <w:noProof/>
        </w:rPr>
        <w:t>.</w:t>
      </w:r>
      <w:r w:rsidR="00ED1D13">
        <w:rPr>
          <w:noProof/>
        </w:rPr>
        <w:t>1</w:t>
      </w:r>
      <w:r>
        <w:rPr>
          <w:lang w:bidi="fa-IR"/>
        </w:rPr>
        <w:fldChar w:fldCharType="end"/>
      </w:r>
      <w:r w:rsidR="00044B8A">
        <w:rPr>
          <w:lang w:bidi="fa-IR"/>
        </w:rPr>
        <w:t xml:space="preserve"> list various factors that, in general, are not addressed in </w:t>
      </w:r>
      <w:r>
        <w:rPr>
          <w:lang w:bidi="fa-IR"/>
        </w:rPr>
        <w:t xml:space="preserve">CGE modelling, </w:t>
      </w:r>
      <w:r w:rsidR="00FC005E">
        <w:rPr>
          <w:lang w:bidi="fa-IR"/>
        </w:rPr>
        <w:t>but</w:t>
      </w:r>
      <w:r>
        <w:rPr>
          <w:lang w:bidi="fa-IR"/>
        </w:rPr>
        <w:t xml:space="preserve"> which impact the cost</w:t>
      </w:r>
      <w:r w:rsidR="00FC005E">
        <w:rPr>
          <w:lang w:bidi="fa-IR"/>
        </w:rPr>
        <w:t>s</w:t>
      </w:r>
      <w:r>
        <w:rPr>
          <w:lang w:bidi="fa-IR"/>
        </w:rPr>
        <w:t xml:space="preserve"> created by </w:t>
      </w:r>
      <w:r w:rsidR="00F52A86">
        <w:rPr>
          <w:lang w:bidi="fa-IR"/>
        </w:rPr>
        <w:t xml:space="preserve">emission reduction policies and </w:t>
      </w:r>
      <w:r w:rsidR="006925EF">
        <w:rPr>
          <w:lang w:bidi="fa-IR"/>
        </w:rPr>
        <w:t xml:space="preserve">thus </w:t>
      </w:r>
      <w:r w:rsidR="00FC005E">
        <w:rPr>
          <w:lang w:bidi="fa-IR"/>
        </w:rPr>
        <w:t>would impact the</w:t>
      </w:r>
      <w:r w:rsidR="006925EF">
        <w:rPr>
          <w:lang w:bidi="fa-IR"/>
        </w:rPr>
        <w:t xml:space="preserve"> </w:t>
      </w:r>
      <w:r w:rsidR="00FC005E">
        <w:rPr>
          <w:lang w:bidi="fa-IR"/>
        </w:rPr>
        <w:t>‘</w:t>
      </w:r>
      <w:r w:rsidR="00D50CA4">
        <w:rPr>
          <w:lang w:bidi="fa-IR"/>
        </w:rPr>
        <w:t>true</w:t>
      </w:r>
      <w:r w:rsidR="00FC005E">
        <w:rPr>
          <w:lang w:bidi="fa-IR"/>
        </w:rPr>
        <w:t>’</w:t>
      </w:r>
      <w:r w:rsidR="00D50CA4">
        <w:rPr>
          <w:lang w:bidi="fa-IR"/>
        </w:rPr>
        <w:t xml:space="preserve"> </w:t>
      </w:r>
      <w:r w:rsidR="006925EF">
        <w:rPr>
          <w:lang w:bidi="fa-IR"/>
        </w:rPr>
        <w:t xml:space="preserve">cost curves </w:t>
      </w:r>
      <w:r w:rsidR="00FC005E">
        <w:rPr>
          <w:lang w:bidi="fa-IR"/>
        </w:rPr>
        <w:t>of emissions reduction</w:t>
      </w:r>
      <w:r w:rsidR="006925EF">
        <w:rPr>
          <w:lang w:bidi="fa-IR"/>
        </w:rPr>
        <w:t xml:space="preserve">. </w:t>
      </w:r>
    </w:p>
    <w:p w14:paraId="3B5B6AB8" w14:textId="229B1C86" w:rsidR="00291652" w:rsidRDefault="00291652" w:rsidP="00291652">
      <w:pPr>
        <w:pStyle w:val="BodyText"/>
        <w:rPr>
          <w:lang w:bidi="fa-IR"/>
        </w:rPr>
      </w:pPr>
      <w:r>
        <w:rPr>
          <w:lang w:bidi="fa-IR"/>
        </w:rPr>
        <w:t xml:space="preserve">The </w:t>
      </w:r>
      <w:r w:rsidR="00974BF9">
        <w:rPr>
          <w:lang w:bidi="fa-IR"/>
        </w:rPr>
        <w:t>right-hand</w:t>
      </w:r>
      <w:r>
        <w:rPr>
          <w:lang w:bidi="fa-IR"/>
        </w:rPr>
        <w:t xml:space="preserve"> columns explain how these factors might impact the ideal </w:t>
      </w:r>
      <w:r>
        <w:rPr>
          <w:i/>
          <w:lang w:bidi="fa-IR"/>
        </w:rPr>
        <w:t xml:space="preserve">timing </w:t>
      </w:r>
      <w:r>
        <w:rPr>
          <w:lang w:bidi="fa-IR"/>
        </w:rPr>
        <w:t xml:space="preserve">of emissions reductions (whether emissions reductions should be brought forward or delayed, etc.). Note these observations are drawn from judgement and logic. We cannot be more precise than this, because we cannot incorporate these factors into our modelling. </w:t>
      </w:r>
    </w:p>
    <w:p w14:paraId="5919EAD0" w14:textId="3BA4FAC9" w:rsidR="00291652" w:rsidRDefault="00291652" w:rsidP="00291652">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w:instrText>
      </w:r>
      <w:r w:rsidRPr="00695C93">
        <w:fldChar w:fldCharType="separate"/>
      </w:r>
      <w:r w:rsidR="00ED1D13">
        <w:rPr>
          <w:noProof/>
        </w:rPr>
        <w:instrText>4</w:instrText>
      </w:r>
      <w:r w:rsidR="00ED1D13" w:rsidRPr="00695C93">
        <w:rPr>
          <w:noProof/>
        </w:rPr>
        <w:instrText>.</w:instrText>
      </w:r>
      <w:r w:rsidRPr="00695C93">
        <w:fldChar w:fldCharType="end"/>
      </w:r>
      <w:r w:rsidRPr="00695C93">
        <w:instrText>" "</w:instrText>
      </w:r>
      <w:fldSimple w:instr=" STYLEREF &quot;Heading 6&quot; \l \n ">
        <w:r w:rsidRPr="00695C93">
          <w:instrText>B</w:instrText>
        </w:r>
      </w:fldSimple>
      <w:r w:rsidRPr="00695C93">
        <w:instrText xml:space="preserve">." </w:instrText>
      </w:r>
      <w:r w:rsidRPr="00695C93">
        <w:fldChar w:fldCharType="separate"/>
      </w:r>
      <w:r w:rsidR="008A2B2B">
        <w:rPr>
          <w:noProof/>
        </w:rPr>
        <w:instrText>4</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257" w:name="_Caption7269"/>
      <w:bookmarkStart w:id="258" w:name="_Caption9375"/>
      <w:bookmarkStart w:id="259" w:name="_Caption6722"/>
      <w:bookmarkStart w:id="260" w:name="_Caption3154"/>
      <w:bookmarkStart w:id="261" w:name="_Caption0858"/>
      <w:bookmarkStart w:id="262" w:name="_Caption9472"/>
      <w:bookmarkStart w:id="263" w:name="_Caption8849"/>
      <w:bookmarkStart w:id="264" w:name="_Caption4639"/>
      <w:bookmarkStart w:id="265" w:name="_Caption1200"/>
      <w:bookmarkStart w:id="266" w:name="_Caption0382"/>
      <w:bookmarkStart w:id="267" w:name="_Caption8031"/>
      <w:bookmarkStart w:id="268" w:name="_Caption1300"/>
      <w:bookmarkStart w:id="269" w:name="_Caption0896"/>
      <w:bookmarkStart w:id="270" w:name="_Caption6861"/>
      <w:bookmarkStart w:id="271" w:name="_Caption5219"/>
      <w:bookmarkStart w:id="272" w:name="_Caption6765"/>
      <w:bookmarkStart w:id="273" w:name="_Caption6812"/>
      <w:bookmarkStart w:id="274" w:name="_Caption1714"/>
      <w:bookmarkStart w:id="275" w:name="_Caption1029"/>
      <w:bookmarkStart w:id="276" w:name="_Caption7811"/>
      <w:bookmarkStart w:id="277" w:name="_Caption0847"/>
      <w:bookmarkStart w:id="278" w:name="_Caption4709"/>
      <w:bookmarkStart w:id="279" w:name="_Caption4720"/>
      <w:bookmarkStart w:id="280" w:name="_Caption4279"/>
      <w:bookmarkStart w:id="281" w:name="_Caption0311"/>
      <w:bookmarkStart w:id="282" w:name="_Caption1311"/>
      <w:bookmarkStart w:id="283" w:name="_Caption6635"/>
      <w:bookmarkStart w:id="284" w:name="_Caption1310"/>
      <w:bookmarkStart w:id="285" w:name="_Caption7694"/>
      <w:bookmarkStart w:id="286" w:name="_Caption5901"/>
      <w:bookmarkStart w:id="287" w:name="_Caption8095"/>
      <w:bookmarkStart w:id="288" w:name="_Toc9778477"/>
      <w:r w:rsidR="008A2B2B">
        <w:rPr>
          <w:noProof/>
        </w:rPr>
        <w:t>4</w:t>
      </w:r>
      <w:r w:rsidR="008A2B2B" w:rsidRPr="00695C93">
        <w:rPr>
          <w:noProof/>
        </w:rPr>
        <w:t>.</w:t>
      </w:r>
      <w:r w:rsidR="008A2B2B">
        <w:rPr>
          <w:noProof/>
        </w:rPr>
        <w:t>1</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695C93">
        <w:fldChar w:fldCharType="end"/>
      </w:r>
      <w:r w:rsidRPr="00695C93">
        <w:tab/>
      </w:r>
      <w:r>
        <w:t>Implication for timing of reductions of factors not included in CGE modelling</w:t>
      </w:r>
      <w:bookmarkEnd w:id="288"/>
    </w:p>
    <w:tbl>
      <w:tblPr>
        <w:tblW w:w="0" w:type="auto"/>
        <w:tblLayout w:type="fixed"/>
        <w:tblLook w:val="0000" w:firstRow="0" w:lastRow="0" w:firstColumn="0" w:lastColumn="0" w:noHBand="0" w:noVBand="0"/>
      </w:tblPr>
      <w:tblGrid>
        <w:gridCol w:w="1276"/>
        <w:gridCol w:w="2552"/>
        <w:gridCol w:w="1559"/>
        <w:gridCol w:w="2550"/>
      </w:tblGrid>
      <w:tr w:rsidR="00291652" w14:paraId="7B050981" w14:textId="77777777" w:rsidTr="00004633">
        <w:tc>
          <w:tcPr>
            <w:tcW w:w="3828" w:type="dxa"/>
            <w:gridSpan w:val="2"/>
            <w:shd w:val="clear" w:color="auto" w:fill="6F6652"/>
            <w:tcMar>
              <w:left w:w="57" w:type="dxa"/>
              <w:right w:w="57" w:type="dxa"/>
            </w:tcMar>
          </w:tcPr>
          <w:p w14:paraId="52520215" w14:textId="77777777" w:rsidR="00291652" w:rsidRDefault="00291652" w:rsidP="00004633">
            <w:pPr>
              <w:pStyle w:val="TableDataColumnHeading"/>
              <w:jc w:val="left"/>
              <w:rPr>
                <w:lang w:bidi="fa-IR"/>
              </w:rPr>
            </w:pPr>
            <w:r>
              <w:rPr>
                <w:lang w:bidi="fa-IR"/>
              </w:rPr>
              <w:t>Factor not included in CGE modelling</w:t>
            </w:r>
          </w:p>
        </w:tc>
        <w:tc>
          <w:tcPr>
            <w:tcW w:w="4109" w:type="dxa"/>
            <w:gridSpan w:val="2"/>
            <w:shd w:val="clear" w:color="auto" w:fill="6F6652"/>
            <w:tcMar>
              <w:left w:w="57" w:type="dxa"/>
              <w:right w:w="57" w:type="dxa"/>
            </w:tcMar>
          </w:tcPr>
          <w:p w14:paraId="2F26B546" w14:textId="77777777" w:rsidR="00291652" w:rsidRDefault="00291652" w:rsidP="00004633">
            <w:pPr>
              <w:pStyle w:val="TableDataColumnHeading"/>
              <w:jc w:val="left"/>
              <w:rPr>
                <w:lang w:bidi="fa-IR"/>
              </w:rPr>
            </w:pPr>
            <w:r>
              <w:rPr>
                <w:lang w:bidi="fa-IR"/>
              </w:rPr>
              <w:t>Probable impact on timing</w:t>
            </w:r>
          </w:p>
        </w:tc>
      </w:tr>
      <w:tr w:rsidR="00291652" w14:paraId="4F66EC97" w14:textId="77777777" w:rsidTr="00004633">
        <w:tc>
          <w:tcPr>
            <w:tcW w:w="1276" w:type="dxa"/>
            <w:shd w:val="clear" w:color="auto" w:fill="auto"/>
            <w:tcMar>
              <w:left w:w="57" w:type="dxa"/>
              <w:right w:w="57" w:type="dxa"/>
            </w:tcMar>
          </w:tcPr>
          <w:p w14:paraId="0B4A9A38" w14:textId="77777777" w:rsidR="00291652" w:rsidRDefault="00291652" w:rsidP="00004633">
            <w:pPr>
              <w:pStyle w:val="TableUnit"/>
              <w:jc w:val="left"/>
              <w:rPr>
                <w:lang w:bidi="fa-IR"/>
              </w:rPr>
            </w:pPr>
            <w:r>
              <w:rPr>
                <w:lang w:bidi="fa-IR"/>
              </w:rPr>
              <w:t>Factor</w:t>
            </w:r>
          </w:p>
        </w:tc>
        <w:tc>
          <w:tcPr>
            <w:tcW w:w="2552" w:type="dxa"/>
            <w:shd w:val="clear" w:color="auto" w:fill="auto"/>
            <w:tcMar>
              <w:left w:w="57" w:type="dxa"/>
              <w:right w:w="57" w:type="dxa"/>
            </w:tcMar>
          </w:tcPr>
          <w:p w14:paraId="480B0FAA" w14:textId="77777777" w:rsidR="00291652" w:rsidRDefault="00291652" w:rsidP="00004633">
            <w:pPr>
              <w:pStyle w:val="TableUnit"/>
              <w:jc w:val="left"/>
              <w:rPr>
                <w:lang w:bidi="fa-IR"/>
              </w:rPr>
            </w:pPr>
            <w:r>
              <w:rPr>
                <w:lang w:bidi="fa-IR"/>
              </w:rPr>
              <w:t>Explanation</w:t>
            </w:r>
          </w:p>
        </w:tc>
        <w:tc>
          <w:tcPr>
            <w:tcW w:w="1559" w:type="dxa"/>
            <w:shd w:val="clear" w:color="auto" w:fill="auto"/>
            <w:tcMar>
              <w:left w:w="57" w:type="dxa"/>
              <w:right w:w="57" w:type="dxa"/>
            </w:tcMar>
          </w:tcPr>
          <w:p w14:paraId="6B64C4DF" w14:textId="77777777" w:rsidR="00291652" w:rsidRDefault="00291652" w:rsidP="00004633">
            <w:pPr>
              <w:pStyle w:val="TableUnit"/>
              <w:jc w:val="left"/>
              <w:rPr>
                <w:lang w:bidi="fa-IR"/>
              </w:rPr>
            </w:pPr>
            <w:r>
              <w:rPr>
                <w:lang w:bidi="fa-IR"/>
              </w:rPr>
              <w:t>Impact on emissions path</w:t>
            </w:r>
          </w:p>
        </w:tc>
        <w:tc>
          <w:tcPr>
            <w:tcW w:w="2550" w:type="dxa"/>
            <w:shd w:val="clear" w:color="auto" w:fill="auto"/>
            <w:tcMar>
              <w:left w:w="57" w:type="dxa"/>
              <w:right w:w="57" w:type="dxa"/>
            </w:tcMar>
          </w:tcPr>
          <w:p w14:paraId="13E1903B" w14:textId="77777777" w:rsidR="00291652" w:rsidRDefault="00291652" w:rsidP="00004633">
            <w:pPr>
              <w:pStyle w:val="TableUnit"/>
              <w:jc w:val="left"/>
              <w:rPr>
                <w:lang w:bidi="fa-IR"/>
              </w:rPr>
            </w:pPr>
            <w:r>
              <w:rPr>
                <w:lang w:bidi="fa-IR"/>
              </w:rPr>
              <w:t>Comment</w:t>
            </w:r>
          </w:p>
        </w:tc>
      </w:tr>
      <w:tr w:rsidR="00291652" w14:paraId="65A406CE" w14:textId="77777777" w:rsidTr="00004633">
        <w:tc>
          <w:tcPr>
            <w:tcW w:w="1276"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2E9F17D3" w14:textId="77777777" w:rsidR="00291652" w:rsidRDefault="00291652" w:rsidP="00004633">
            <w:pPr>
              <w:pStyle w:val="TableDataEntries"/>
              <w:jc w:val="left"/>
              <w:rPr>
                <w:lang w:bidi="fa-IR"/>
              </w:rPr>
            </w:pPr>
            <w:r>
              <w:rPr>
                <w:lang w:bidi="fa-IR"/>
              </w:rPr>
              <w:t>Adjustment costs</w:t>
            </w:r>
          </w:p>
        </w:tc>
        <w:tc>
          <w:tcPr>
            <w:tcW w:w="2552"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2861BC31" w14:textId="19D422BA" w:rsidR="00291652" w:rsidRDefault="00291652" w:rsidP="00004633">
            <w:pPr>
              <w:pStyle w:val="TableDataEntries"/>
              <w:jc w:val="left"/>
              <w:rPr>
                <w:lang w:bidi="fa-IR"/>
              </w:rPr>
            </w:pPr>
            <w:r>
              <w:rPr>
                <w:lang w:bidi="fa-IR"/>
              </w:rPr>
              <w:t>Moving labour and capital</w:t>
            </w:r>
            <w:r w:rsidR="00FE26BE">
              <w:rPr>
                <w:lang w:bidi="fa-IR"/>
              </w:rPr>
              <w:t xml:space="preserve"> from</w:t>
            </w:r>
            <w:r>
              <w:rPr>
                <w:lang w:bidi="fa-IR"/>
              </w:rPr>
              <w:t xml:space="preserve"> </w:t>
            </w:r>
            <w:r w:rsidR="00FE26BE">
              <w:rPr>
                <w:lang w:bidi="fa-IR"/>
              </w:rPr>
              <w:t>higher to lower</w:t>
            </w:r>
            <w:r>
              <w:rPr>
                <w:lang w:bidi="fa-IR"/>
              </w:rPr>
              <w:t xml:space="preserve"> em</w:t>
            </w:r>
            <w:r w:rsidR="00FE26BE">
              <w:rPr>
                <w:lang w:bidi="fa-IR"/>
              </w:rPr>
              <w:t>issions intensive industries</w:t>
            </w:r>
            <w:r w:rsidR="004F635E">
              <w:rPr>
                <w:lang w:bidi="fa-IR"/>
              </w:rPr>
              <w:t xml:space="preserve"> </w:t>
            </w:r>
            <w:r>
              <w:rPr>
                <w:lang w:bidi="fa-IR"/>
              </w:rPr>
              <w:t xml:space="preserve">may involve </w:t>
            </w:r>
            <w:r w:rsidR="00FE26BE">
              <w:rPr>
                <w:lang w:bidi="fa-IR"/>
              </w:rPr>
              <w:t>real adjustment</w:t>
            </w:r>
            <w:r>
              <w:rPr>
                <w:lang w:bidi="fa-IR"/>
              </w:rPr>
              <w:t xml:space="preserve"> costs </w:t>
            </w:r>
            <w:r w:rsidR="00FE26BE">
              <w:rPr>
                <w:lang w:bidi="fa-IR"/>
              </w:rPr>
              <w:t xml:space="preserve">(as distinct to technology costs </w:t>
            </w:r>
            <w:r w:rsidR="00FE26BE" w:rsidRPr="00FE26BE">
              <w:rPr>
                <w:i/>
                <w:lang w:bidi="fa-IR"/>
              </w:rPr>
              <w:t>per se</w:t>
            </w:r>
            <w:r w:rsidR="00FE26BE">
              <w:rPr>
                <w:lang w:bidi="fa-IR"/>
              </w:rPr>
              <w:t xml:space="preserve">) </w:t>
            </w:r>
            <w:r>
              <w:rPr>
                <w:lang w:bidi="fa-IR"/>
              </w:rPr>
              <w:t>which are gener</w:t>
            </w:r>
            <w:r w:rsidR="00FE26BE">
              <w:rPr>
                <w:lang w:bidi="fa-IR"/>
              </w:rPr>
              <w:t>ally not picked up in modelling</w:t>
            </w:r>
          </w:p>
        </w:tc>
        <w:tc>
          <w:tcPr>
            <w:tcW w:w="155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487D62AA" w14:textId="77777777" w:rsidR="00291652" w:rsidRDefault="00291652" w:rsidP="00004633">
            <w:pPr>
              <w:pStyle w:val="TableDataEntries"/>
              <w:jc w:val="left"/>
              <w:rPr>
                <w:lang w:bidi="fa-IR"/>
              </w:rPr>
            </w:pPr>
            <w:r>
              <w:rPr>
                <w:lang w:bidi="fa-IR"/>
              </w:rPr>
              <w:t>Even spread of reductions (i.e. not favouring one period over another)</w:t>
            </w:r>
          </w:p>
        </w:tc>
        <w:tc>
          <w:tcPr>
            <w:tcW w:w="2550"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0D3EFCD0" w14:textId="77777777" w:rsidR="00291652" w:rsidRDefault="00291652" w:rsidP="00004633">
            <w:pPr>
              <w:pStyle w:val="TableDataEntries"/>
              <w:jc w:val="left"/>
              <w:rPr>
                <w:lang w:bidi="fa-IR"/>
              </w:rPr>
            </w:pPr>
            <w:r>
              <w:rPr>
                <w:lang w:bidi="fa-IR"/>
              </w:rPr>
              <w:t>To minimise adjustment costs, abatement path should be communicated well in advance</w:t>
            </w:r>
          </w:p>
          <w:p w14:paraId="79148F3F" w14:textId="3AF6C4E3" w:rsidR="00291652" w:rsidRDefault="00291652" w:rsidP="00004633">
            <w:pPr>
              <w:pStyle w:val="TableDataEntries"/>
              <w:jc w:val="left"/>
              <w:rPr>
                <w:lang w:bidi="fa-IR"/>
              </w:rPr>
            </w:pPr>
            <w:r>
              <w:rPr>
                <w:lang w:bidi="fa-IR"/>
              </w:rPr>
              <w:t>Further, adjustment costs are probably minimised by spreading them across time periods</w:t>
            </w:r>
            <w:r w:rsidR="00EA2EC9">
              <w:rPr>
                <w:lang w:bidi="fa-IR"/>
              </w:rPr>
              <w:t>, assuming a low discount rate</w:t>
            </w:r>
          </w:p>
          <w:p w14:paraId="44755E00" w14:textId="18DB1C6E" w:rsidR="00EA2EC9" w:rsidRDefault="00EA2EC9" w:rsidP="00EA2EC9">
            <w:pPr>
              <w:pStyle w:val="TableDataEntries"/>
              <w:jc w:val="left"/>
              <w:rPr>
                <w:lang w:bidi="fa-IR"/>
              </w:rPr>
            </w:pPr>
            <w:r>
              <w:rPr>
                <w:lang w:bidi="fa-IR"/>
              </w:rPr>
              <w:t>If the discount rate is high, adjustment costs may be minimised by pushing them into the future</w:t>
            </w:r>
          </w:p>
        </w:tc>
      </w:tr>
      <w:tr w:rsidR="00291652" w14:paraId="2E5A0159" w14:textId="77777777" w:rsidTr="00004633">
        <w:tc>
          <w:tcPr>
            <w:tcW w:w="1276"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60A600C0" w14:textId="77777777" w:rsidR="00291652" w:rsidRDefault="00291652" w:rsidP="00004633">
            <w:pPr>
              <w:pStyle w:val="TableDataEntries"/>
              <w:jc w:val="left"/>
              <w:rPr>
                <w:lang w:bidi="fa-IR"/>
              </w:rPr>
            </w:pPr>
            <w:r w:rsidRPr="005668F8">
              <w:rPr>
                <w:i/>
                <w:lang w:bidi="fa-IR"/>
              </w:rPr>
              <w:t>Actual</w:t>
            </w:r>
            <w:r>
              <w:rPr>
                <w:lang w:bidi="fa-IR"/>
              </w:rPr>
              <w:t xml:space="preserve"> policy used to achieve abatement</w:t>
            </w:r>
          </w:p>
        </w:tc>
        <w:tc>
          <w:tcPr>
            <w:tcW w:w="2552"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6C7653C0" w14:textId="77777777" w:rsidR="00291652" w:rsidRDefault="00291652" w:rsidP="00004633">
            <w:pPr>
              <w:pStyle w:val="TableDataEntries"/>
              <w:jc w:val="left"/>
              <w:rPr>
                <w:lang w:bidi="fa-IR"/>
              </w:rPr>
            </w:pPr>
            <w:r>
              <w:rPr>
                <w:lang w:bidi="fa-IR"/>
              </w:rPr>
              <w:t>Abatemen</w:t>
            </w:r>
            <w:r w:rsidR="00044B8A">
              <w:rPr>
                <w:lang w:bidi="fa-IR"/>
              </w:rPr>
              <w:t>t is achieved in models with a</w:t>
            </w:r>
            <w:r>
              <w:rPr>
                <w:lang w:bidi="fa-IR"/>
              </w:rPr>
              <w:t xml:space="preserve"> CO2 tax; the actual policy used may be much less efficient than this</w:t>
            </w:r>
          </w:p>
          <w:p w14:paraId="5B779F83" w14:textId="5592495B" w:rsidR="004E097D" w:rsidRDefault="000B0348" w:rsidP="00004633">
            <w:pPr>
              <w:pStyle w:val="TableDataEntries"/>
              <w:jc w:val="left"/>
              <w:rPr>
                <w:lang w:bidi="fa-IR"/>
              </w:rPr>
            </w:pPr>
            <w:r>
              <w:rPr>
                <w:lang w:bidi="fa-IR"/>
              </w:rPr>
              <w:t>Some</w:t>
            </w:r>
            <w:r w:rsidR="004E097D">
              <w:rPr>
                <w:lang w:bidi="fa-IR"/>
              </w:rPr>
              <w:t xml:space="preserve"> policies (in and outside of models) do not allow trading between years, which reduces efficiency</w:t>
            </w:r>
          </w:p>
        </w:tc>
        <w:tc>
          <w:tcPr>
            <w:tcW w:w="1559"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172F55A9" w14:textId="77777777" w:rsidR="00291652" w:rsidRDefault="00291652" w:rsidP="00004633">
            <w:pPr>
              <w:pStyle w:val="TableDataEntries"/>
              <w:jc w:val="left"/>
              <w:rPr>
                <w:lang w:bidi="fa-IR"/>
              </w:rPr>
            </w:pPr>
            <w:r>
              <w:rPr>
                <w:lang w:bidi="fa-IR"/>
              </w:rPr>
              <w:t>Even spread</w:t>
            </w:r>
          </w:p>
        </w:tc>
        <w:tc>
          <w:tcPr>
            <w:tcW w:w="2550" w:type="dxa"/>
            <w:tcBorders>
              <w:top w:val="single" w:sz="8" w:space="0" w:color="FFFFFF" w:themeColor="background1"/>
              <w:bottom w:val="single" w:sz="8" w:space="0" w:color="FFFFFF" w:themeColor="background1"/>
            </w:tcBorders>
            <w:shd w:val="clear" w:color="auto" w:fill="E9E8E5" w:themeFill="background2"/>
            <w:tcMar>
              <w:left w:w="57" w:type="dxa"/>
              <w:right w:w="57" w:type="dxa"/>
            </w:tcMar>
          </w:tcPr>
          <w:p w14:paraId="0DF5EB8C" w14:textId="3FBAF207" w:rsidR="00291652" w:rsidRDefault="00EA2EC9" w:rsidP="00004633">
            <w:pPr>
              <w:pStyle w:val="TableDataEntries"/>
              <w:jc w:val="left"/>
              <w:rPr>
                <w:lang w:bidi="fa-IR"/>
              </w:rPr>
            </w:pPr>
            <w:r>
              <w:rPr>
                <w:lang w:bidi="fa-IR"/>
              </w:rPr>
              <w:t>Same as adjustment costs: e</w:t>
            </w:r>
            <w:r w:rsidR="00291652">
              <w:rPr>
                <w:lang w:bidi="fa-IR"/>
              </w:rPr>
              <w:t>xtra cost of policy should probably be spread across time periods</w:t>
            </w:r>
            <w:r>
              <w:rPr>
                <w:lang w:bidi="fa-IR"/>
              </w:rPr>
              <w:t>, if discount rate is low (or delayed if discount rate is high)</w:t>
            </w:r>
          </w:p>
        </w:tc>
      </w:tr>
      <w:tr w:rsidR="00044B8A" w14:paraId="32754D06" w14:textId="77777777" w:rsidTr="00004633">
        <w:tc>
          <w:tcPr>
            <w:tcW w:w="1276" w:type="dxa"/>
            <w:tcBorders>
              <w:top w:val="single" w:sz="8" w:space="0" w:color="FFFFFF" w:themeColor="background1"/>
              <w:bottom w:val="single" w:sz="6" w:space="0" w:color="6F6652"/>
            </w:tcBorders>
            <w:shd w:val="clear" w:color="auto" w:fill="E9E8E5" w:themeFill="background2"/>
            <w:tcMar>
              <w:left w:w="57" w:type="dxa"/>
              <w:right w:w="57" w:type="dxa"/>
            </w:tcMar>
          </w:tcPr>
          <w:p w14:paraId="3F0ADFB9" w14:textId="7F20514F" w:rsidR="00044B8A" w:rsidRDefault="00044B8A" w:rsidP="00044B8A">
            <w:pPr>
              <w:pStyle w:val="TableDataEntries"/>
              <w:jc w:val="left"/>
              <w:rPr>
                <w:lang w:bidi="fa-IR"/>
              </w:rPr>
            </w:pPr>
            <w:r>
              <w:rPr>
                <w:lang w:bidi="fa-IR"/>
              </w:rPr>
              <w:t>Strategy/end-point of ‘net zero emissions’</w:t>
            </w:r>
          </w:p>
        </w:tc>
        <w:tc>
          <w:tcPr>
            <w:tcW w:w="2552" w:type="dxa"/>
            <w:tcBorders>
              <w:top w:val="single" w:sz="8" w:space="0" w:color="FFFFFF" w:themeColor="background1"/>
              <w:bottom w:val="single" w:sz="6" w:space="0" w:color="6F6652"/>
            </w:tcBorders>
            <w:shd w:val="clear" w:color="auto" w:fill="E9E8E5" w:themeFill="background2"/>
            <w:tcMar>
              <w:left w:w="57" w:type="dxa"/>
              <w:right w:w="57" w:type="dxa"/>
            </w:tcMar>
          </w:tcPr>
          <w:p w14:paraId="1F35857D" w14:textId="3FC3B40B" w:rsidR="00044B8A" w:rsidRDefault="00044B8A" w:rsidP="00044B8A">
            <w:pPr>
              <w:pStyle w:val="TableDataEntries"/>
              <w:jc w:val="left"/>
              <w:rPr>
                <w:lang w:bidi="fa-IR"/>
              </w:rPr>
            </w:pPr>
            <w:r>
              <w:rPr>
                <w:lang w:bidi="fa-IR"/>
              </w:rPr>
              <w:t xml:space="preserve">Net zero emissions could be: (1) reductions in gross emissions (concentrated in certain industries) or (2) smaller gross reductions and an increase in sequestration </w:t>
            </w:r>
          </w:p>
        </w:tc>
        <w:tc>
          <w:tcPr>
            <w:tcW w:w="1559" w:type="dxa"/>
            <w:tcBorders>
              <w:top w:val="single" w:sz="8" w:space="0" w:color="FFFFFF" w:themeColor="background1"/>
              <w:bottom w:val="single" w:sz="6" w:space="0" w:color="6F6652"/>
            </w:tcBorders>
            <w:shd w:val="clear" w:color="auto" w:fill="E9E8E5" w:themeFill="background2"/>
            <w:tcMar>
              <w:left w:w="57" w:type="dxa"/>
              <w:right w:w="57" w:type="dxa"/>
            </w:tcMar>
          </w:tcPr>
          <w:p w14:paraId="634ED89C" w14:textId="6D1F8E33" w:rsidR="00044B8A" w:rsidRDefault="00044B8A" w:rsidP="00044B8A">
            <w:pPr>
              <w:pStyle w:val="TableDataEntries"/>
              <w:jc w:val="left"/>
              <w:rPr>
                <w:lang w:bidi="fa-IR"/>
              </w:rPr>
            </w:pPr>
            <w:r>
              <w:rPr>
                <w:lang w:bidi="fa-IR"/>
              </w:rPr>
              <w:t>Implement target setting after goals and policies for sequestration are established</w:t>
            </w:r>
          </w:p>
        </w:tc>
        <w:tc>
          <w:tcPr>
            <w:tcW w:w="2550" w:type="dxa"/>
            <w:tcBorders>
              <w:top w:val="single" w:sz="8" w:space="0" w:color="FFFFFF" w:themeColor="background1"/>
              <w:bottom w:val="single" w:sz="6" w:space="0" w:color="6F6652"/>
            </w:tcBorders>
            <w:shd w:val="clear" w:color="auto" w:fill="E9E8E5" w:themeFill="background2"/>
            <w:tcMar>
              <w:left w:w="57" w:type="dxa"/>
              <w:right w:w="57" w:type="dxa"/>
            </w:tcMar>
          </w:tcPr>
          <w:p w14:paraId="62D8CE75" w14:textId="432CE06F" w:rsidR="00044B8A" w:rsidRDefault="00044B8A" w:rsidP="00044B8A">
            <w:pPr>
              <w:pStyle w:val="TableDataEntries"/>
              <w:jc w:val="left"/>
              <w:rPr>
                <w:lang w:bidi="fa-IR"/>
              </w:rPr>
            </w:pPr>
            <w:r>
              <w:rPr>
                <w:lang w:bidi="fa-IR"/>
              </w:rPr>
              <w:t>The cost of sequestration may increase</w:t>
            </w:r>
            <w:r w:rsidR="00B21866">
              <w:rPr>
                <w:lang w:bidi="fa-IR"/>
              </w:rPr>
              <w:t xml:space="preserve"> further</w:t>
            </w:r>
            <w:r>
              <w:rPr>
                <w:lang w:bidi="fa-IR"/>
              </w:rPr>
              <w:t xml:space="preserve"> if strategies and policies not put in place at the beginning</w:t>
            </w:r>
          </w:p>
        </w:tc>
      </w:tr>
    </w:tbl>
    <w:p w14:paraId="5918B5F2" w14:textId="71E2A6A0" w:rsidR="00291652" w:rsidRDefault="00291652" w:rsidP="00291652">
      <w:pPr>
        <w:pStyle w:val="Source"/>
        <w:rPr>
          <w:lang w:bidi="fa-IR"/>
        </w:rPr>
      </w:pPr>
      <w:r w:rsidRPr="002753E2">
        <w:rPr>
          <w:i/>
          <w:lang w:bidi="fa-IR"/>
        </w:rPr>
        <w:t>Source:</w:t>
      </w:r>
      <w:r>
        <w:rPr>
          <w:lang w:bidi="fa-IR"/>
        </w:rPr>
        <w:t xml:space="preserve"> The CIE.</w:t>
      </w:r>
    </w:p>
    <w:p w14:paraId="708A716B" w14:textId="3E44DE38" w:rsidR="00291652" w:rsidRDefault="00892CBF" w:rsidP="00B35DB9">
      <w:pPr>
        <w:pStyle w:val="Heading2"/>
        <w:rPr>
          <w:lang w:bidi="fa-IR"/>
        </w:rPr>
      </w:pPr>
      <w:bookmarkStart w:id="289" w:name="_Toc9778460"/>
      <w:r>
        <w:rPr>
          <w:lang w:bidi="fa-IR"/>
        </w:rPr>
        <w:t>Adjustment costs</w:t>
      </w:r>
      <w:bookmarkEnd w:id="289"/>
    </w:p>
    <w:p w14:paraId="21B1EDDA" w14:textId="77777777" w:rsidR="008A2B2B" w:rsidRDefault="00FC005E" w:rsidP="00892CBF">
      <w:pPr>
        <w:pStyle w:val="BodyText"/>
        <w:rPr>
          <w:lang w:bidi="fa-IR"/>
        </w:rPr>
      </w:pPr>
      <w:r>
        <w:rPr>
          <w:lang w:bidi="fa-IR"/>
        </w:rPr>
        <w:t>R</w:t>
      </w:r>
      <w:r w:rsidR="00D85908">
        <w:rPr>
          <w:lang w:bidi="fa-IR"/>
        </w:rPr>
        <w:t>educing emissions in Victoria will require the reallocation of capital and labour from emissions intensive industries into lower emissions industries</w:t>
      </w:r>
      <w:r w:rsidR="008A2B2B">
        <w:rPr>
          <w:lang w:bidi="fa-IR"/>
        </w:rPr>
        <w:t>. At the same time,</w:t>
      </w:r>
      <w:r w:rsidR="00D85908">
        <w:rPr>
          <w:lang w:bidi="fa-IR"/>
        </w:rPr>
        <w:t xml:space="preserve"> in many </w:t>
      </w:r>
      <w:r w:rsidR="00D85908">
        <w:rPr>
          <w:lang w:bidi="fa-IR"/>
        </w:rPr>
        <w:lastRenderedPageBreak/>
        <w:t>cases this will involve a reallocation of resources between regional</w:t>
      </w:r>
      <w:r w:rsidR="008A2B2B">
        <w:rPr>
          <w:lang w:bidi="fa-IR"/>
        </w:rPr>
        <w:t>s within Victoria, and even between Victoria and other states</w:t>
      </w:r>
      <w:r w:rsidR="00E23B45">
        <w:rPr>
          <w:lang w:bidi="fa-IR"/>
        </w:rPr>
        <w:t xml:space="preserve">. </w:t>
      </w:r>
    </w:p>
    <w:p w14:paraId="61A8A778" w14:textId="6FD149BE" w:rsidR="008A2B2B" w:rsidRDefault="008A2B2B" w:rsidP="00892CBF">
      <w:pPr>
        <w:pStyle w:val="BodyText"/>
        <w:rPr>
          <w:lang w:bidi="fa-IR"/>
        </w:rPr>
      </w:pPr>
      <w:r>
        <w:rPr>
          <w:lang w:bidi="fa-IR"/>
        </w:rPr>
        <w:t>These reallocations are likely to involve ‘adjustment costs’, at term which refers to the real costs involved in transferring resources from one activity to another. Adjustment costs include, for example, the need to retrain workers to attain employment in expanding activities (as they shift away from contracting ones) or the costs associated with capital losses from ‘stranded assets’ that are no longer productive in their current uses.</w:t>
      </w:r>
    </w:p>
    <w:p w14:paraId="0EC8E721" w14:textId="475CF57E" w:rsidR="003239D9" w:rsidRDefault="008A2B2B" w:rsidP="00892CBF">
      <w:pPr>
        <w:pStyle w:val="BodyText"/>
        <w:rPr>
          <w:lang w:bidi="fa-IR"/>
        </w:rPr>
      </w:pPr>
      <w:r>
        <w:rPr>
          <w:lang w:bidi="fa-IR"/>
        </w:rPr>
        <w:t>The potential for these costs is illustrated by the fact that most modelling studies do show large changes in activity in different sectors and regions. See, for example, the results summarised in Treasury (2011).</w:t>
      </w:r>
    </w:p>
    <w:p w14:paraId="3CC8A1A9" w14:textId="2AD7521D" w:rsidR="003239D9" w:rsidRDefault="003239D9" w:rsidP="00892CBF">
      <w:pPr>
        <w:pStyle w:val="BodyText"/>
        <w:rPr>
          <w:lang w:bidi="fa-IR"/>
        </w:rPr>
      </w:pPr>
      <w:r>
        <w:rPr>
          <w:lang w:bidi="fa-IR"/>
        </w:rPr>
        <w:t xml:space="preserve">It is likely that adjustment costs, if they could be incorporated, would impact both the level and the steepness of the cost curve. However, for our purposes, it may not be necessary to discover the details of this. The simple point, shown in </w:t>
      </w:r>
      <w:r w:rsidR="002425E6">
        <w:rPr>
          <w:lang w:bidi="fa-IR"/>
        </w:rPr>
        <w:t>t</w:t>
      </w:r>
      <w:r>
        <w:rPr>
          <w:lang w:bidi="fa-IR"/>
        </w:rPr>
        <w:t xml:space="preserve">able </w:t>
      </w:r>
      <w:r>
        <w:rPr>
          <w:lang w:bidi="fa-IR"/>
        </w:rPr>
        <w:fldChar w:fldCharType="begin"/>
      </w:r>
      <w:r>
        <w:rPr>
          <w:lang w:bidi="fa-IR"/>
        </w:rPr>
        <w:instrText xml:space="preserve"> REF _Caption1310 </w:instrText>
      </w:r>
      <w:r>
        <w:rPr>
          <w:lang w:bidi="fa-IR"/>
        </w:rPr>
        <w:fldChar w:fldCharType="separate"/>
      </w:r>
      <w:r w:rsidR="00ED1D13">
        <w:rPr>
          <w:noProof/>
        </w:rPr>
        <w:t>4</w:t>
      </w:r>
      <w:r w:rsidR="00ED1D13" w:rsidRPr="00695C93">
        <w:rPr>
          <w:noProof/>
        </w:rPr>
        <w:t>.</w:t>
      </w:r>
      <w:r w:rsidR="00ED1D13">
        <w:rPr>
          <w:noProof/>
        </w:rPr>
        <w:t>1</w:t>
      </w:r>
      <w:r>
        <w:rPr>
          <w:lang w:bidi="fa-IR"/>
        </w:rPr>
        <w:fldChar w:fldCharType="end"/>
      </w:r>
      <w:r>
        <w:rPr>
          <w:lang w:bidi="fa-IR"/>
        </w:rPr>
        <w:t xml:space="preserve">, is that, in the absence of definite evidence to the contrary, adjustment costs should probably be spread over time. </w:t>
      </w:r>
    </w:p>
    <w:p w14:paraId="7ADB400A" w14:textId="7D93A540" w:rsidR="00BE7A16" w:rsidRDefault="008A2B2B" w:rsidP="00BE7A16">
      <w:pPr>
        <w:pStyle w:val="BodyText"/>
        <w:rPr>
          <w:lang w:eastAsia="en-US"/>
        </w:rPr>
      </w:pPr>
      <w:r>
        <w:rPr>
          <w:lang w:eastAsia="en-US"/>
        </w:rPr>
        <w:t xml:space="preserve">It is also important to note that adjustment costs are usually ‘once off’ consequence of policy implementation. Further, as </w:t>
      </w:r>
      <w:r w:rsidR="00DD7511">
        <w:rPr>
          <w:lang w:eastAsia="en-US"/>
        </w:rPr>
        <w:t xml:space="preserve">Treasury </w:t>
      </w:r>
      <w:r>
        <w:rPr>
          <w:lang w:eastAsia="en-US"/>
        </w:rPr>
        <w:t>(</w:t>
      </w:r>
      <w:r w:rsidR="00DD7511">
        <w:rPr>
          <w:lang w:eastAsia="en-US"/>
        </w:rPr>
        <w:t>2011</w:t>
      </w:r>
      <w:r>
        <w:rPr>
          <w:lang w:eastAsia="en-US"/>
        </w:rPr>
        <w:t>)</w:t>
      </w:r>
      <w:r w:rsidR="00DD7511">
        <w:rPr>
          <w:lang w:eastAsia="en-US"/>
        </w:rPr>
        <w:t xml:space="preserve"> notes</w:t>
      </w:r>
      <w:r>
        <w:rPr>
          <w:lang w:eastAsia="en-US"/>
        </w:rPr>
        <w:t>,</w:t>
      </w:r>
      <w:r w:rsidR="00DD7511">
        <w:rPr>
          <w:lang w:eastAsia="en-US"/>
        </w:rPr>
        <w:t xml:space="preserve"> ‘at the broad sectoral level, structural changes due to </w:t>
      </w:r>
      <w:r w:rsidR="00B21866">
        <w:rPr>
          <w:lang w:eastAsia="en-US"/>
        </w:rPr>
        <w:t>c</w:t>
      </w:r>
      <w:r w:rsidR="00DD7511">
        <w:rPr>
          <w:lang w:eastAsia="en-US"/>
        </w:rPr>
        <w:t xml:space="preserve">arbon pricing are much smaller than the effects of ongoing changes in the </w:t>
      </w:r>
      <w:r w:rsidR="00B21866">
        <w:rPr>
          <w:lang w:eastAsia="en-US"/>
        </w:rPr>
        <w:t>‘</w:t>
      </w:r>
      <w:r w:rsidR="00DD7511">
        <w:rPr>
          <w:lang w:eastAsia="en-US"/>
        </w:rPr>
        <w:t>terms of trade or tastes’</w:t>
      </w:r>
      <w:r w:rsidR="00034273">
        <w:rPr>
          <w:rStyle w:val="FootnoteReference"/>
          <w:lang w:eastAsia="en-US"/>
        </w:rPr>
        <w:footnoteReference w:id="8"/>
      </w:r>
      <w:r w:rsidR="00034273">
        <w:rPr>
          <w:lang w:eastAsia="en-US"/>
        </w:rPr>
        <w:t xml:space="preserve"> and shows its Chart 5.14 to </w:t>
      </w:r>
      <w:r w:rsidR="00CD75DF">
        <w:rPr>
          <w:lang w:eastAsia="en-US"/>
        </w:rPr>
        <w:t>illustrate</w:t>
      </w:r>
      <w:r w:rsidR="00034273">
        <w:rPr>
          <w:lang w:eastAsia="en-US"/>
        </w:rPr>
        <w:t xml:space="preserve"> this point.</w:t>
      </w:r>
    </w:p>
    <w:p w14:paraId="6104DB0E" w14:textId="03A6B60D" w:rsidR="00034273" w:rsidRPr="00695C93" w:rsidRDefault="00034273" w:rsidP="00934396">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8A2B2B">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8A2B2B">
        <w:rPr>
          <w:noProof/>
        </w:rPr>
        <w:instrText>4</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8A2B2B">
        <w:rPr>
          <w:noProof/>
        </w:rPr>
        <w:instrText>4</w:instrText>
      </w:r>
      <w:r w:rsidR="00187D65">
        <w:rPr>
          <w:noProof/>
        </w:rPr>
        <w:fldChar w:fldCharType="end"/>
      </w:r>
      <w:r w:rsidRPr="00695C93">
        <w:instrText xml:space="preserve">." </w:instrText>
      </w:r>
      <w:r w:rsidRPr="00695C93">
        <w:fldChar w:fldCharType="separate"/>
      </w:r>
      <w:r w:rsidR="008A2B2B">
        <w:rPr>
          <w:noProof/>
        </w:rPr>
        <w:instrText>4</w:instrText>
      </w:r>
      <w:r w:rsidR="008A2B2B"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4</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8A2B2B">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8A2B2B">
        <w:rPr>
          <w:noProof/>
        </w:rPr>
        <w:instrText>4</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8A2B2B">
        <w:rPr>
          <w:noProof/>
        </w:rPr>
        <w:instrText>2</w:instrText>
      </w:r>
      <w:r w:rsidRPr="00695C93">
        <w:fldChar w:fldCharType="end"/>
      </w:r>
      <w:r w:rsidRPr="00695C93">
        <w:instrText xml:space="preserve">" "" </w:instrText>
      </w:r>
      <w:r w:rsidRPr="00695C93">
        <w:fldChar w:fldCharType="separate"/>
      </w:r>
      <w:bookmarkStart w:id="290" w:name="_Caption3496"/>
      <w:bookmarkStart w:id="291" w:name="_Caption2542"/>
      <w:bookmarkStart w:id="292" w:name="_Caption9953"/>
      <w:bookmarkStart w:id="293" w:name="_Caption7923"/>
      <w:bookmarkStart w:id="294" w:name="_Caption8280"/>
      <w:bookmarkStart w:id="295" w:name="_Caption7493"/>
      <w:bookmarkStart w:id="296" w:name="_Toc9778478"/>
      <w:r w:rsidR="008A2B2B">
        <w:rPr>
          <w:noProof/>
        </w:rPr>
        <w:t>4</w:t>
      </w:r>
      <w:r w:rsidR="008A2B2B" w:rsidRPr="00695C93">
        <w:rPr>
          <w:noProof/>
        </w:rPr>
        <w:t>.</w:t>
      </w:r>
      <w:r w:rsidR="008A2B2B">
        <w:rPr>
          <w:noProof/>
        </w:rPr>
        <w:t>2</w:t>
      </w:r>
      <w:bookmarkEnd w:id="290"/>
      <w:bookmarkEnd w:id="291"/>
      <w:bookmarkEnd w:id="292"/>
      <w:bookmarkEnd w:id="293"/>
      <w:bookmarkEnd w:id="294"/>
      <w:bookmarkEnd w:id="295"/>
      <w:r w:rsidRPr="00695C93">
        <w:fldChar w:fldCharType="end"/>
      </w:r>
      <w:r w:rsidRPr="00695C93">
        <w:tab/>
      </w:r>
      <w:r>
        <w:t>Treasury 2011 Chart 5.14</w:t>
      </w:r>
      <w:bookmarkEnd w:id="296"/>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034273" w14:paraId="3C828255" w14:textId="77777777" w:rsidTr="00034273">
        <w:trPr>
          <w:cantSplit/>
          <w:trHeight w:val="284"/>
        </w:trPr>
        <w:tc>
          <w:tcPr>
            <w:tcW w:w="7938" w:type="dxa"/>
            <w:shd w:val="clear" w:color="auto" w:fill="E9E8E5" w:themeFill="background2"/>
          </w:tcPr>
          <w:p w14:paraId="6DDC6E5B" w14:textId="77777777" w:rsidR="00034273" w:rsidRDefault="00034273" w:rsidP="00034273">
            <w:pPr>
              <w:pStyle w:val="Chart"/>
              <w:jc w:val="center"/>
              <w:rPr>
                <w:noProof/>
              </w:rPr>
            </w:pPr>
          </w:p>
        </w:tc>
      </w:tr>
      <w:tr w:rsidR="00034273" w14:paraId="54085938" w14:textId="77777777" w:rsidTr="00034273">
        <w:trPr>
          <w:cantSplit/>
          <w:trHeight w:val="4990"/>
        </w:trPr>
        <w:tc>
          <w:tcPr>
            <w:tcW w:w="7938" w:type="dxa"/>
            <w:shd w:val="clear" w:color="auto" w:fill="E9E8E5" w:themeFill="background2"/>
          </w:tcPr>
          <w:p w14:paraId="1254A345" w14:textId="2E542BE6" w:rsidR="00034273" w:rsidRDefault="00034273" w:rsidP="00034273">
            <w:pPr>
              <w:pStyle w:val="Chart"/>
              <w:jc w:val="center"/>
            </w:pPr>
            <w:r>
              <w:rPr>
                <w:noProof/>
              </w:rPr>
              <w:drawing>
                <wp:inline distT="0" distB="0" distL="0" distR="0" wp14:anchorId="6E24F410" wp14:editId="5A511AA8">
                  <wp:extent cx="4859104" cy="3037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D 2011 Chart 5.14.png"/>
                          <pic:cNvPicPr/>
                        </pic:nvPicPr>
                        <pic:blipFill>
                          <a:blip r:embed="rId28">
                            <a:extLst>
                              <a:ext uri="{28A0092B-C50C-407E-A947-70E740481C1C}">
                                <a14:useLocalDpi xmlns:a14="http://schemas.microsoft.com/office/drawing/2010/main" val="0"/>
                              </a:ext>
                            </a:extLst>
                          </a:blip>
                          <a:stretch>
                            <a:fillRect/>
                          </a:stretch>
                        </pic:blipFill>
                        <pic:spPr>
                          <a:xfrm>
                            <a:off x="0" y="0"/>
                            <a:ext cx="4863288" cy="3040014"/>
                          </a:xfrm>
                          <a:prstGeom prst="rect">
                            <a:avLst/>
                          </a:prstGeom>
                        </pic:spPr>
                      </pic:pic>
                    </a:graphicData>
                  </a:graphic>
                </wp:inline>
              </w:drawing>
            </w:r>
          </w:p>
        </w:tc>
      </w:tr>
    </w:tbl>
    <w:p w14:paraId="094F1B65" w14:textId="443C251B" w:rsidR="00034273" w:rsidRDefault="00034273" w:rsidP="00934396">
      <w:pPr>
        <w:pStyle w:val="Source"/>
      </w:pPr>
      <w:r>
        <w:rPr>
          <w:i/>
        </w:rPr>
        <w:t>Data source</w:t>
      </w:r>
      <w:r w:rsidRPr="00A67576">
        <w:rPr>
          <w:i/>
        </w:rPr>
        <w:t>:</w:t>
      </w:r>
      <w:r>
        <w:t xml:space="preserve"> Treasury 2011</w:t>
      </w:r>
    </w:p>
    <w:p w14:paraId="06B915A5" w14:textId="68A86D12" w:rsidR="00892CBF" w:rsidRDefault="00892CBF" w:rsidP="00B35DB9">
      <w:pPr>
        <w:pStyle w:val="Heading2"/>
        <w:rPr>
          <w:lang w:bidi="fa-IR"/>
        </w:rPr>
      </w:pPr>
      <w:bookmarkStart w:id="297" w:name="_Toc9778461"/>
      <w:r>
        <w:rPr>
          <w:lang w:bidi="fa-IR"/>
        </w:rPr>
        <w:lastRenderedPageBreak/>
        <w:t>Policy risk</w:t>
      </w:r>
      <w:bookmarkEnd w:id="297"/>
    </w:p>
    <w:p w14:paraId="3FCD0914" w14:textId="6311B85D" w:rsidR="00892CBF" w:rsidRDefault="00892CBF" w:rsidP="00892CBF">
      <w:pPr>
        <w:pStyle w:val="BodyText"/>
        <w:rPr>
          <w:lang w:bidi="fa-IR"/>
        </w:rPr>
      </w:pPr>
      <w:r>
        <w:rPr>
          <w:lang w:bidi="fa-IR"/>
        </w:rPr>
        <w:t xml:space="preserve">In CGE models, the policy used to achieve </w:t>
      </w:r>
      <w:r w:rsidR="001C6F5E">
        <w:rPr>
          <w:lang w:bidi="fa-IR"/>
        </w:rPr>
        <w:t xml:space="preserve">emissions reduction is usually a carbon </w:t>
      </w:r>
      <w:r>
        <w:rPr>
          <w:lang w:bidi="fa-IR"/>
        </w:rPr>
        <w:t xml:space="preserve">tax, which is generally considered by economists to be the most efficient policy to achieve abatement. </w:t>
      </w:r>
      <w:r w:rsidR="001C6F5E">
        <w:rPr>
          <w:lang w:bidi="fa-IR"/>
        </w:rPr>
        <w:t>I</w:t>
      </w:r>
      <w:r>
        <w:rPr>
          <w:lang w:bidi="fa-IR"/>
        </w:rPr>
        <w:t>f</w:t>
      </w:r>
      <w:r w:rsidR="001C6F5E">
        <w:rPr>
          <w:lang w:bidi="fa-IR"/>
        </w:rPr>
        <w:t xml:space="preserve"> the</w:t>
      </w:r>
      <w:r>
        <w:rPr>
          <w:lang w:bidi="fa-IR"/>
        </w:rPr>
        <w:t xml:space="preserve"> Victorian government uses policies other than a </w:t>
      </w:r>
      <w:r w:rsidR="001C6F5E">
        <w:rPr>
          <w:lang w:bidi="fa-IR"/>
        </w:rPr>
        <w:t>carbon tax</w:t>
      </w:r>
      <w:r>
        <w:rPr>
          <w:lang w:bidi="fa-IR"/>
        </w:rPr>
        <w:t xml:space="preserve"> to achieve </w:t>
      </w:r>
      <w:r w:rsidR="001C6F5E">
        <w:rPr>
          <w:lang w:bidi="fa-IR"/>
        </w:rPr>
        <w:t>emissions reduction</w:t>
      </w:r>
      <w:r>
        <w:rPr>
          <w:lang w:bidi="fa-IR"/>
        </w:rPr>
        <w:t xml:space="preserve">, costs and changes in the economy </w:t>
      </w:r>
      <w:r w:rsidR="001C6F5E">
        <w:rPr>
          <w:lang w:bidi="fa-IR"/>
        </w:rPr>
        <w:t>(driven by emissions reduction) could be larger than what is reported in modelling results.</w:t>
      </w:r>
    </w:p>
    <w:p w14:paraId="541F8F69" w14:textId="3B3D7360" w:rsidR="007A5A18" w:rsidRDefault="00892CBF" w:rsidP="001C6F5E">
      <w:pPr>
        <w:pStyle w:val="BodyText"/>
        <w:rPr>
          <w:lang w:bidi="fa-IR"/>
        </w:rPr>
      </w:pPr>
      <w:r w:rsidRPr="001C6F5E">
        <w:rPr>
          <w:lang w:bidi="fa-IR"/>
        </w:rPr>
        <w:t>BAE 2012</w:t>
      </w:r>
      <w:r>
        <w:rPr>
          <w:lang w:bidi="fa-IR"/>
        </w:rPr>
        <w:t xml:space="preserve"> examined the impact of </w:t>
      </w:r>
      <w:r w:rsidR="001C6F5E">
        <w:rPr>
          <w:lang w:bidi="fa-IR"/>
        </w:rPr>
        <w:t>different emissions reduction policies on the economy,</w:t>
      </w:r>
      <w:r>
        <w:rPr>
          <w:lang w:bidi="fa-IR"/>
        </w:rPr>
        <w:t xml:space="preserve"> given emission reduction goals.</w:t>
      </w:r>
      <w:r w:rsidR="001C6F5E">
        <w:rPr>
          <w:lang w:bidi="fa-IR"/>
        </w:rPr>
        <w:t xml:space="preserve"> BAE found the c</w:t>
      </w:r>
      <w:r>
        <w:rPr>
          <w:lang w:bidi="fa-IR"/>
        </w:rPr>
        <w:t xml:space="preserve">ombination of </w:t>
      </w:r>
      <w:r w:rsidR="005D09E2">
        <w:rPr>
          <w:lang w:bidi="fa-IR"/>
        </w:rPr>
        <w:t xml:space="preserve">the </w:t>
      </w:r>
      <w:r>
        <w:rPr>
          <w:lang w:bidi="fa-IR"/>
        </w:rPr>
        <w:t xml:space="preserve">RET and ETS </w:t>
      </w:r>
      <w:r w:rsidR="001C6F5E">
        <w:rPr>
          <w:lang w:bidi="fa-IR"/>
        </w:rPr>
        <w:t>reduces the level of Australian GDP by 0.8 per cent, whereas</w:t>
      </w:r>
      <w:r>
        <w:rPr>
          <w:lang w:bidi="fa-IR"/>
        </w:rPr>
        <w:t xml:space="preserve"> </w:t>
      </w:r>
      <w:r w:rsidR="001C6F5E">
        <w:rPr>
          <w:lang w:bidi="fa-IR"/>
        </w:rPr>
        <w:t xml:space="preserve">an </w:t>
      </w:r>
      <w:r>
        <w:rPr>
          <w:lang w:bidi="fa-IR"/>
        </w:rPr>
        <w:t xml:space="preserve">expanded ETS </w:t>
      </w:r>
      <w:r w:rsidR="007A5A18">
        <w:rPr>
          <w:lang w:bidi="fa-IR"/>
        </w:rPr>
        <w:t xml:space="preserve">(working by itself) reduces the level of GDP by only 0.6 per cent. </w:t>
      </w:r>
      <w:r w:rsidR="001C6F5E">
        <w:rPr>
          <w:lang w:bidi="fa-IR"/>
        </w:rPr>
        <w:t xml:space="preserve">Further, </w:t>
      </w:r>
      <w:r w:rsidR="007A5A18">
        <w:rPr>
          <w:lang w:bidi="fa-IR"/>
        </w:rPr>
        <w:t xml:space="preserve">the </w:t>
      </w:r>
      <w:r w:rsidR="00580E4E">
        <w:rPr>
          <w:lang w:bidi="fa-IR"/>
        </w:rPr>
        <w:t>re</w:t>
      </w:r>
      <w:r w:rsidR="005D09E2">
        <w:rPr>
          <w:lang w:bidi="fa-IR"/>
        </w:rPr>
        <w:t>d</w:t>
      </w:r>
      <w:r w:rsidR="00580E4E">
        <w:rPr>
          <w:lang w:bidi="fa-IR"/>
        </w:rPr>
        <w:t xml:space="preserve">uction </w:t>
      </w:r>
      <w:r w:rsidR="007A5A18">
        <w:rPr>
          <w:lang w:bidi="fa-IR"/>
        </w:rPr>
        <w:t xml:space="preserve">in GDP is lower if Australia </w:t>
      </w:r>
      <w:proofErr w:type="gramStart"/>
      <w:r w:rsidR="007A5A18">
        <w:rPr>
          <w:lang w:bidi="fa-IR"/>
        </w:rPr>
        <w:t>is able to</w:t>
      </w:r>
      <w:proofErr w:type="gramEnd"/>
      <w:r w:rsidR="007A5A18">
        <w:rPr>
          <w:lang w:bidi="fa-IR"/>
        </w:rPr>
        <w:t xml:space="preserve"> </w:t>
      </w:r>
      <w:r w:rsidR="001C6F5E">
        <w:rPr>
          <w:lang w:bidi="fa-IR"/>
        </w:rPr>
        <w:t>a</w:t>
      </w:r>
      <w:r w:rsidR="007A5A18">
        <w:rPr>
          <w:lang w:bidi="fa-IR"/>
        </w:rPr>
        <w:t>ccess international permits</w:t>
      </w:r>
      <w:r w:rsidR="00FC005E">
        <w:rPr>
          <w:lang w:bidi="fa-IR"/>
        </w:rPr>
        <w:t xml:space="preserve"> (and thus lower cost options for abatement)</w:t>
      </w:r>
      <w:r w:rsidR="007A5A18">
        <w:rPr>
          <w:lang w:bidi="fa-IR"/>
        </w:rPr>
        <w:t>.</w:t>
      </w:r>
    </w:p>
    <w:p w14:paraId="684BEDF2" w14:textId="5BF43562" w:rsidR="005243C0" w:rsidRDefault="005243C0" w:rsidP="005243C0">
      <w:pPr>
        <w:pStyle w:val="BodyText"/>
        <w:rPr>
          <w:lang w:bidi="fa-IR"/>
        </w:rPr>
      </w:pPr>
      <w:r>
        <w:rPr>
          <w:lang w:bidi="fa-IR"/>
        </w:rPr>
        <w:t xml:space="preserve">It is likely that additional costs associated with imperfect policy costs would impact both the level and the steepness of the cost curve. However, for our purposes, it may not be necessary for us to discover the details of this. The simple point, shown in Table </w:t>
      </w:r>
      <w:r>
        <w:rPr>
          <w:lang w:bidi="fa-IR"/>
        </w:rPr>
        <w:fldChar w:fldCharType="begin"/>
      </w:r>
      <w:r>
        <w:rPr>
          <w:lang w:bidi="fa-IR"/>
        </w:rPr>
        <w:instrText xml:space="preserve"> REF _Caption1310 </w:instrText>
      </w:r>
      <w:r>
        <w:rPr>
          <w:lang w:bidi="fa-IR"/>
        </w:rPr>
        <w:fldChar w:fldCharType="separate"/>
      </w:r>
      <w:r w:rsidR="00ED1D13">
        <w:rPr>
          <w:noProof/>
        </w:rPr>
        <w:t>4</w:t>
      </w:r>
      <w:r w:rsidR="00ED1D13" w:rsidRPr="00695C93">
        <w:rPr>
          <w:noProof/>
        </w:rPr>
        <w:t>.</w:t>
      </w:r>
      <w:r w:rsidR="00ED1D13">
        <w:rPr>
          <w:noProof/>
        </w:rPr>
        <w:t>1</w:t>
      </w:r>
      <w:r>
        <w:rPr>
          <w:lang w:bidi="fa-IR"/>
        </w:rPr>
        <w:fldChar w:fldCharType="end"/>
      </w:r>
      <w:r>
        <w:rPr>
          <w:lang w:bidi="fa-IR"/>
        </w:rPr>
        <w:t xml:space="preserve">, is that, in the absence of definite evidence to the contrary, additional costs created by imperfect policy should probably be spread over time. </w:t>
      </w:r>
    </w:p>
    <w:p w14:paraId="2A7D826D" w14:textId="7D58DAAE" w:rsidR="00892CBF" w:rsidRPr="00F85E90" w:rsidRDefault="00892CBF" w:rsidP="00892CBF">
      <w:pPr>
        <w:pStyle w:val="Caption"/>
        <w:rPr>
          <w:i/>
        </w:rPr>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w:instrText>
      </w:r>
      <w:r w:rsidRPr="00695C93">
        <w:fldChar w:fldCharType="separate"/>
      </w:r>
      <w:r w:rsidR="00ED1D13">
        <w:rPr>
          <w:noProof/>
        </w:rPr>
        <w:instrText>4</w:instrText>
      </w:r>
      <w:r w:rsidR="00ED1D13" w:rsidRPr="00695C93">
        <w:rPr>
          <w:noProof/>
        </w:rPr>
        <w:instrText>.</w:instrText>
      </w:r>
      <w:r w:rsidRPr="00695C93">
        <w:fldChar w:fldCharType="end"/>
      </w:r>
      <w:r w:rsidRPr="00695C93">
        <w:instrText>" "</w:instrText>
      </w:r>
      <w:fldSimple w:instr=" STYLEREF &quot;Heading 6&quot; \l \n ">
        <w:r w:rsidRPr="00695C93">
          <w:instrText>B</w:instrText>
        </w:r>
      </w:fldSimple>
      <w:r w:rsidRPr="00695C93">
        <w:instrText xml:space="preserve">." </w:instrText>
      </w:r>
      <w:r w:rsidRPr="00695C93">
        <w:fldChar w:fldCharType="separate"/>
      </w:r>
      <w:r w:rsidR="008A2B2B">
        <w:rPr>
          <w:noProof/>
        </w:rPr>
        <w:instrText>4</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5</w:instrText>
      </w:r>
      <w:r w:rsidRPr="00695C93">
        <w:fldChar w:fldCharType="end"/>
      </w:r>
      <w:r w:rsidRPr="00695C93">
        <w:instrText xml:space="preserve">" "" </w:instrText>
      </w:r>
      <w:r w:rsidRPr="00695C93">
        <w:fldChar w:fldCharType="separate"/>
      </w:r>
      <w:bookmarkStart w:id="298" w:name="_Caption0822"/>
      <w:bookmarkStart w:id="299" w:name="_Caption1584"/>
      <w:bookmarkStart w:id="300" w:name="_Caption3707"/>
      <w:bookmarkStart w:id="301" w:name="_Caption0699"/>
      <w:bookmarkStart w:id="302" w:name="_Caption0395"/>
      <w:bookmarkStart w:id="303" w:name="_Caption4000"/>
      <w:bookmarkStart w:id="304" w:name="_Caption3808"/>
      <w:bookmarkStart w:id="305" w:name="_Caption5682"/>
      <w:bookmarkStart w:id="306" w:name="_Caption7680"/>
      <w:bookmarkStart w:id="307" w:name="_Caption3869"/>
      <w:bookmarkStart w:id="308" w:name="_Caption1590"/>
      <w:bookmarkStart w:id="309" w:name="_Caption6542"/>
      <w:bookmarkStart w:id="310" w:name="_Caption9609"/>
      <w:bookmarkStart w:id="311" w:name="_Caption8954"/>
      <w:bookmarkStart w:id="312" w:name="_Caption9455"/>
      <w:bookmarkStart w:id="313" w:name="_Caption0532"/>
      <w:bookmarkStart w:id="314" w:name="_Caption0586"/>
      <w:bookmarkStart w:id="315" w:name="_Caption9425"/>
      <w:bookmarkStart w:id="316" w:name="_Caption0815"/>
      <w:bookmarkStart w:id="317" w:name="_Caption8232"/>
      <w:bookmarkStart w:id="318" w:name="_Caption4714"/>
      <w:bookmarkStart w:id="319" w:name="_Caption9250"/>
      <w:bookmarkStart w:id="320" w:name="_Caption5313"/>
      <w:bookmarkStart w:id="321" w:name="_Caption2900"/>
      <w:bookmarkStart w:id="322" w:name="_Caption0611"/>
      <w:bookmarkStart w:id="323" w:name="_Caption2048"/>
      <w:bookmarkStart w:id="324" w:name="_Caption0517"/>
      <w:bookmarkStart w:id="325" w:name="_Caption8482"/>
      <w:bookmarkStart w:id="326" w:name="_Caption9247"/>
      <w:bookmarkStart w:id="327" w:name="_Caption5609"/>
      <w:bookmarkStart w:id="328" w:name="_Caption5948"/>
      <w:bookmarkStart w:id="329" w:name="_Caption0087"/>
      <w:bookmarkStart w:id="330" w:name="_Caption2486"/>
      <w:bookmarkStart w:id="331" w:name="_Toc9778479"/>
      <w:r w:rsidR="008A2B2B">
        <w:rPr>
          <w:noProof/>
        </w:rPr>
        <w:t>4</w:t>
      </w:r>
      <w:r w:rsidR="008A2B2B" w:rsidRPr="00695C93">
        <w:rPr>
          <w:noProof/>
        </w:rPr>
        <w:t>.</w:t>
      </w:r>
      <w:r w:rsidR="008A2B2B">
        <w:rPr>
          <w:noProof/>
        </w:rPr>
        <w:t>5</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695C93">
        <w:fldChar w:fldCharType="end"/>
      </w:r>
      <w:r w:rsidRPr="00695C93">
        <w:tab/>
      </w:r>
      <w:r>
        <w:t xml:space="preserve">Key results from BAE 2012: </w:t>
      </w:r>
      <w:r>
        <w:rPr>
          <w:i/>
        </w:rPr>
        <w:t>Comparison of economic effects under alternative climate policy scenarios (2020, percentage differences from the reference case)</w:t>
      </w:r>
      <w:bookmarkEnd w:id="331"/>
    </w:p>
    <w:tbl>
      <w:tblPr>
        <w:tblW w:w="0" w:type="auto"/>
        <w:tblLayout w:type="fixed"/>
        <w:tblLook w:val="0000" w:firstRow="0" w:lastRow="0" w:firstColumn="0" w:lastColumn="0" w:noHBand="0" w:noVBand="0"/>
      </w:tblPr>
      <w:tblGrid>
        <w:gridCol w:w="1587"/>
        <w:gridCol w:w="1587"/>
        <w:gridCol w:w="1587"/>
        <w:gridCol w:w="1588"/>
        <w:gridCol w:w="1588"/>
      </w:tblGrid>
      <w:tr w:rsidR="00892CBF" w14:paraId="6B227526" w14:textId="77777777" w:rsidTr="000C6F31">
        <w:tc>
          <w:tcPr>
            <w:tcW w:w="1587" w:type="dxa"/>
            <w:tcBorders>
              <w:bottom w:val="single" w:sz="8" w:space="0" w:color="FFFFFF" w:themeColor="background1"/>
            </w:tcBorders>
            <w:shd w:val="clear" w:color="auto" w:fill="6F6652"/>
            <w:tcMar>
              <w:left w:w="57" w:type="dxa"/>
              <w:right w:w="57" w:type="dxa"/>
            </w:tcMar>
          </w:tcPr>
          <w:p w14:paraId="2C0159DA" w14:textId="77777777" w:rsidR="00892CBF" w:rsidRDefault="00892CBF" w:rsidP="000C6F31">
            <w:pPr>
              <w:pStyle w:val="TableDataColumnHeading"/>
              <w:jc w:val="left"/>
              <w:rPr>
                <w:lang w:bidi="fa-IR"/>
              </w:rPr>
            </w:pPr>
            <w:r>
              <w:rPr>
                <w:lang w:bidi="fa-IR"/>
              </w:rPr>
              <w:t>Policy:</w:t>
            </w:r>
          </w:p>
        </w:tc>
        <w:tc>
          <w:tcPr>
            <w:tcW w:w="1587" w:type="dxa"/>
            <w:tcBorders>
              <w:bottom w:val="single" w:sz="8" w:space="0" w:color="FFFFFF" w:themeColor="background1"/>
            </w:tcBorders>
            <w:shd w:val="clear" w:color="auto" w:fill="6F6652"/>
            <w:tcMar>
              <w:left w:w="57" w:type="dxa"/>
              <w:right w:w="57" w:type="dxa"/>
            </w:tcMar>
          </w:tcPr>
          <w:p w14:paraId="4AE0DA42" w14:textId="77777777" w:rsidR="00892CBF" w:rsidRDefault="00892CBF" w:rsidP="000C6F31">
            <w:pPr>
              <w:pStyle w:val="TableDataColumnHeading"/>
              <w:rPr>
                <w:lang w:bidi="fa-IR"/>
              </w:rPr>
            </w:pPr>
            <w:r>
              <w:rPr>
                <w:lang w:bidi="fa-IR"/>
              </w:rPr>
              <w:t>ETS</w:t>
            </w:r>
          </w:p>
        </w:tc>
        <w:tc>
          <w:tcPr>
            <w:tcW w:w="1587" w:type="dxa"/>
            <w:tcBorders>
              <w:bottom w:val="single" w:sz="8" w:space="0" w:color="FFFFFF" w:themeColor="background1"/>
            </w:tcBorders>
            <w:shd w:val="clear" w:color="auto" w:fill="6F6652"/>
            <w:tcMar>
              <w:left w:w="57" w:type="dxa"/>
              <w:right w:w="57" w:type="dxa"/>
            </w:tcMar>
          </w:tcPr>
          <w:p w14:paraId="2F21FC8E" w14:textId="77777777" w:rsidR="00892CBF" w:rsidRDefault="00892CBF" w:rsidP="000C6F31">
            <w:pPr>
              <w:pStyle w:val="TableDataColumnHeading"/>
              <w:rPr>
                <w:lang w:bidi="fa-IR"/>
              </w:rPr>
            </w:pPr>
            <w:r>
              <w:rPr>
                <w:lang w:bidi="fa-IR"/>
              </w:rPr>
              <w:t>ETS + RET</w:t>
            </w:r>
          </w:p>
        </w:tc>
        <w:tc>
          <w:tcPr>
            <w:tcW w:w="1588" w:type="dxa"/>
            <w:tcBorders>
              <w:bottom w:val="single" w:sz="8" w:space="0" w:color="FFFFFF" w:themeColor="background1"/>
            </w:tcBorders>
            <w:shd w:val="clear" w:color="auto" w:fill="6F6652"/>
            <w:tcMar>
              <w:left w:w="57" w:type="dxa"/>
              <w:right w:w="57" w:type="dxa"/>
            </w:tcMar>
          </w:tcPr>
          <w:p w14:paraId="45E2A09D" w14:textId="77777777" w:rsidR="00892CBF" w:rsidRDefault="00892CBF" w:rsidP="000C6F31">
            <w:pPr>
              <w:pStyle w:val="TableDataColumnHeading"/>
              <w:rPr>
                <w:lang w:bidi="fa-IR"/>
              </w:rPr>
            </w:pPr>
            <w:r>
              <w:rPr>
                <w:lang w:bidi="fa-IR"/>
              </w:rPr>
              <w:t>ETS (linked to EU)</w:t>
            </w:r>
          </w:p>
        </w:tc>
        <w:tc>
          <w:tcPr>
            <w:tcW w:w="1588" w:type="dxa"/>
            <w:tcBorders>
              <w:bottom w:val="single" w:sz="8" w:space="0" w:color="FFFFFF" w:themeColor="background1"/>
            </w:tcBorders>
            <w:shd w:val="clear" w:color="auto" w:fill="6F6652"/>
            <w:tcMar>
              <w:left w:w="57" w:type="dxa"/>
              <w:right w:w="57" w:type="dxa"/>
            </w:tcMar>
          </w:tcPr>
          <w:p w14:paraId="22387663" w14:textId="77777777" w:rsidR="00892CBF" w:rsidRDefault="00892CBF" w:rsidP="000C6F31">
            <w:pPr>
              <w:pStyle w:val="TableDataColumnHeading"/>
              <w:rPr>
                <w:lang w:bidi="fa-IR"/>
              </w:rPr>
            </w:pPr>
            <w:r>
              <w:rPr>
                <w:lang w:bidi="fa-IR"/>
              </w:rPr>
              <w:t>ETS (linked to EU) + RET</w:t>
            </w:r>
          </w:p>
        </w:tc>
      </w:tr>
      <w:tr w:rsidR="00892CBF" w14:paraId="626625EA" w14:textId="77777777" w:rsidTr="000C6F31">
        <w:tc>
          <w:tcPr>
            <w:tcW w:w="1587" w:type="dxa"/>
            <w:tcBorders>
              <w:top w:val="single" w:sz="8" w:space="0" w:color="FFFFFF" w:themeColor="background1"/>
              <w:bottom w:val="single" w:sz="6" w:space="0" w:color="6F6652"/>
            </w:tcBorders>
            <w:shd w:val="clear" w:color="auto" w:fill="E9E8E5" w:themeFill="background2"/>
            <w:tcMar>
              <w:left w:w="57" w:type="dxa"/>
              <w:right w:w="57" w:type="dxa"/>
            </w:tcMar>
          </w:tcPr>
          <w:p w14:paraId="23F5340F" w14:textId="77777777" w:rsidR="00892CBF" w:rsidRDefault="00892CBF" w:rsidP="000C6F31">
            <w:pPr>
              <w:pStyle w:val="TableDataEntries"/>
              <w:jc w:val="left"/>
              <w:rPr>
                <w:lang w:bidi="fa-IR"/>
              </w:rPr>
            </w:pPr>
            <w:r>
              <w:rPr>
                <w:lang w:bidi="fa-IR"/>
              </w:rPr>
              <w:t>Impact on Real GDP (per cent)</w:t>
            </w:r>
          </w:p>
        </w:tc>
        <w:tc>
          <w:tcPr>
            <w:tcW w:w="1587" w:type="dxa"/>
            <w:tcBorders>
              <w:top w:val="single" w:sz="8" w:space="0" w:color="FFFFFF" w:themeColor="background1"/>
              <w:bottom w:val="single" w:sz="6" w:space="0" w:color="6F6652"/>
            </w:tcBorders>
            <w:shd w:val="clear" w:color="auto" w:fill="E9E8E5" w:themeFill="background2"/>
            <w:tcMar>
              <w:left w:w="57" w:type="dxa"/>
              <w:right w:w="57" w:type="dxa"/>
            </w:tcMar>
          </w:tcPr>
          <w:p w14:paraId="10DAE3AA" w14:textId="77777777" w:rsidR="00892CBF" w:rsidRDefault="00892CBF" w:rsidP="000C6F31">
            <w:pPr>
              <w:pStyle w:val="TableDataEntries"/>
              <w:rPr>
                <w:lang w:bidi="fa-IR"/>
              </w:rPr>
            </w:pPr>
            <w:r>
              <w:rPr>
                <w:lang w:bidi="fa-IR"/>
              </w:rPr>
              <w:t>-0.6</w:t>
            </w:r>
          </w:p>
        </w:tc>
        <w:tc>
          <w:tcPr>
            <w:tcW w:w="1587" w:type="dxa"/>
            <w:tcBorders>
              <w:top w:val="single" w:sz="8" w:space="0" w:color="FFFFFF" w:themeColor="background1"/>
              <w:bottom w:val="single" w:sz="6" w:space="0" w:color="6F6652"/>
            </w:tcBorders>
            <w:shd w:val="clear" w:color="auto" w:fill="E9E8E5" w:themeFill="background2"/>
            <w:tcMar>
              <w:left w:w="57" w:type="dxa"/>
              <w:right w:w="57" w:type="dxa"/>
            </w:tcMar>
          </w:tcPr>
          <w:p w14:paraId="385CBDC9" w14:textId="77777777" w:rsidR="00892CBF" w:rsidRDefault="00892CBF" w:rsidP="000C6F31">
            <w:pPr>
              <w:pStyle w:val="TableDataEntries"/>
              <w:rPr>
                <w:lang w:bidi="fa-IR"/>
              </w:rPr>
            </w:pPr>
            <w:r>
              <w:rPr>
                <w:lang w:bidi="fa-IR"/>
              </w:rPr>
              <w:t>-0.8</w:t>
            </w:r>
          </w:p>
        </w:tc>
        <w:tc>
          <w:tcPr>
            <w:tcW w:w="1588" w:type="dxa"/>
            <w:tcBorders>
              <w:top w:val="single" w:sz="8" w:space="0" w:color="FFFFFF" w:themeColor="background1"/>
              <w:bottom w:val="single" w:sz="6" w:space="0" w:color="6F6652"/>
            </w:tcBorders>
            <w:shd w:val="clear" w:color="auto" w:fill="E9E8E5" w:themeFill="background2"/>
            <w:tcMar>
              <w:left w:w="57" w:type="dxa"/>
              <w:right w:w="57" w:type="dxa"/>
            </w:tcMar>
          </w:tcPr>
          <w:p w14:paraId="58E9975E" w14:textId="77777777" w:rsidR="00892CBF" w:rsidRDefault="00892CBF" w:rsidP="000C6F31">
            <w:pPr>
              <w:pStyle w:val="TableDataEntries"/>
              <w:rPr>
                <w:lang w:bidi="fa-IR"/>
              </w:rPr>
            </w:pPr>
            <w:r>
              <w:rPr>
                <w:lang w:bidi="fa-IR"/>
              </w:rPr>
              <w:t>-0.4</w:t>
            </w:r>
          </w:p>
        </w:tc>
        <w:tc>
          <w:tcPr>
            <w:tcW w:w="1588" w:type="dxa"/>
            <w:tcBorders>
              <w:top w:val="single" w:sz="8" w:space="0" w:color="FFFFFF" w:themeColor="background1"/>
              <w:bottom w:val="single" w:sz="6" w:space="0" w:color="6F6652"/>
            </w:tcBorders>
            <w:shd w:val="clear" w:color="auto" w:fill="E9E8E5" w:themeFill="background2"/>
            <w:tcMar>
              <w:left w:w="57" w:type="dxa"/>
              <w:right w:w="57" w:type="dxa"/>
            </w:tcMar>
          </w:tcPr>
          <w:p w14:paraId="1460D8B4" w14:textId="77777777" w:rsidR="00892CBF" w:rsidRDefault="00892CBF" w:rsidP="000C6F31">
            <w:pPr>
              <w:pStyle w:val="TableDataEntries"/>
              <w:rPr>
                <w:lang w:bidi="fa-IR"/>
              </w:rPr>
            </w:pPr>
            <w:r>
              <w:rPr>
                <w:lang w:bidi="fa-IR"/>
              </w:rPr>
              <w:t>-0.7</w:t>
            </w:r>
          </w:p>
        </w:tc>
      </w:tr>
    </w:tbl>
    <w:p w14:paraId="03C96884" w14:textId="77777777" w:rsidR="00892CBF" w:rsidRDefault="00892CBF" w:rsidP="00892CBF">
      <w:pPr>
        <w:pStyle w:val="Source"/>
        <w:rPr>
          <w:lang w:bidi="fa-IR"/>
        </w:rPr>
      </w:pPr>
      <w:r w:rsidRPr="00F85E90">
        <w:rPr>
          <w:i/>
          <w:lang w:bidi="fa-IR"/>
        </w:rPr>
        <w:t>Source:</w:t>
      </w:r>
      <w:r>
        <w:rPr>
          <w:lang w:bidi="fa-IR"/>
        </w:rPr>
        <w:t xml:space="preserve"> BAE Economics (2012), Table 4.1</w:t>
      </w:r>
    </w:p>
    <w:p w14:paraId="4619811B" w14:textId="70D91BE2" w:rsidR="00892CBF" w:rsidRDefault="00892CBF" w:rsidP="007A5A18">
      <w:pPr>
        <w:pStyle w:val="BodyText"/>
        <w:rPr>
          <w:lang w:bidi="fa-IR"/>
        </w:rPr>
      </w:pPr>
      <w:r w:rsidRPr="00EA2EC9">
        <w:rPr>
          <w:lang w:bidi="fa-IR"/>
        </w:rPr>
        <w:t xml:space="preserve">CCA </w:t>
      </w:r>
      <w:r w:rsidR="00DA28B8">
        <w:rPr>
          <w:lang w:bidi="fa-IR"/>
        </w:rPr>
        <w:t>2016</w:t>
      </w:r>
      <w:r>
        <w:rPr>
          <w:lang w:bidi="fa-IR"/>
        </w:rPr>
        <w:t xml:space="preserve"> (drawing on Jacobs 2016)</w:t>
      </w:r>
      <w:r w:rsidR="007A5A18">
        <w:rPr>
          <w:lang w:bidi="fa-IR"/>
        </w:rPr>
        <w:t xml:space="preserve"> estimates the ‘</w:t>
      </w:r>
      <w:r>
        <w:rPr>
          <w:lang w:bidi="fa-IR"/>
        </w:rPr>
        <w:t>direct cost</w:t>
      </w:r>
      <w:r w:rsidR="007A5A18">
        <w:rPr>
          <w:lang w:bidi="fa-IR"/>
        </w:rPr>
        <w:t>s’</w:t>
      </w:r>
      <w:r>
        <w:rPr>
          <w:lang w:bidi="fa-IR"/>
        </w:rPr>
        <w:t xml:space="preserve"> (defined as resource costs in electricity sector) of different policies that achieve </w:t>
      </w:r>
      <w:r w:rsidR="007A5A18">
        <w:rPr>
          <w:lang w:bidi="fa-IR"/>
        </w:rPr>
        <w:t xml:space="preserve">given </w:t>
      </w:r>
      <w:r>
        <w:rPr>
          <w:lang w:bidi="fa-IR"/>
        </w:rPr>
        <w:t xml:space="preserve">abatement in </w:t>
      </w:r>
      <w:r w:rsidR="007A5A18">
        <w:rPr>
          <w:lang w:bidi="fa-IR"/>
        </w:rPr>
        <w:t xml:space="preserve">the electricity sector. As shown, </w:t>
      </w:r>
      <w:r>
        <w:rPr>
          <w:lang w:bidi="fa-IR"/>
        </w:rPr>
        <w:t>‘</w:t>
      </w:r>
      <w:r w:rsidR="007A5A18">
        <w:rPr>
          <w:lang w:bidi="fa-IR"/>
        </w:rPr>
        <w:t>m</w:t>
      </w:r>
      <w:r>
        <w:rPr>
          <w:lang w:bidi="fa-IR"/>
        </w:rPr>
        <w:t>arket mechanisms’ that allow more flexibility impose lower direct costs on electricity sector than other policies.</w:t>
      </w:r>
    </w:p>
    <w:p w14:paraId="5F7B00DE" w14:textId="77777777" w:rsidR="00FD0043" w:rsidRDefault="00FD0043" w:rsidP="00FD0043">
      <w:pPr>
        <w:pStyle w:val="Heading2"/>
        <w:rPr>
          <w:lang w:bidi="fa-IR"/>
        </w:rPr>
      </w:pPr>
      <w:bookmarkStart w:id="332" w:name="_Toc9778462"/>
      <w:r>
        <w:rPr>
          <w:lang w:bidi="fa-IR"/>
        </w:rPr>
        <w:t>Other factors</w:t>
      </w:r>
      <w:bookmarkEnd w:id="332"/>
    </w:p>
    <w:p w14:paraId="0CDD2B27" w14:textId="77777777" w:rsidR="00FD0043" w:rsidRPr="00581B16" w:rsidRDefault="00FD0043" w:rsidP="00FD0043">
      <w:pPr>
        <w:pStyle w:val="Heading3"/>
        <w:rPr>
          <w:lang w:bidi="fa-IR"/>
        </w:rPr>
      </w:pPr>
      <w:r>
        <w:rPr>
          <w:lang w:bidi="fa-IR"/>
        </w:rPr>
        <w:t>Incorrect cost assumptions</w:t>
      </w:r>
    </w:p>
    <w:p w14:paraId="1BCD3D3A" w14:textId="77777777" w:rsidR="00FD0043" w:rsidRDefault="00FD0043" w:rsidP="00FD0043">
      <w:pPr>
        <w:pStyle w:val="BodyText"/>
        <w:rPr>
          <w:lang w:bidi="fa-IR"/>
        </w:rPr>
      </w:pPr>
      <w:r>
        <w:rPr>
          <w:lang w:bidi="fa-IR"/>
        </w:rPr>
        <w:t xml:space="preserve">When undertaking studies of the impact of emissions reductions on the economy, modellers are obliged to form expectations and assumptions on technology costs (for example, battery costs, the cost of electricity generated from solar cells, etc.). If technology costs turn out to be different than these expectations and </w:t>
      </w:r>
      <w:proofErr w:type="gramStart"/>
      <w:r>
        <w:rPr>
          <w:lang w:bidi="fa-IR"/>
        </w:rPr>
        <w:t>assumptions</w:t>
      </w:r>
      <w:proofErr w:type="gramEnd"/>
      <w:r>
        <w:rPr>
          <w:lang w:bidi="fa-IR"/>
        </w:rPr>
        <w:t xml:space="preserve"> then the realised impacts of emissions reduction will (naturally) be different from modelled impacts. While the potential for incorrect assumptions is an issue in modelling generally, we deal with this issue (to some extent) by using a range of cost curves. As noted, our main results do not change with this assumption.</w:t>
      </w:r>
    </w:p>
    <w:bookmarkStart w:id="333" w:name="_GoBack"/>
    <w:bookmarkEnd w:id="333"/>
    <w:p w14:paraId="10398417" w14:textId="777BCDBE" w:rsidR="00892CBF" w:rsidRPr="00695C93" w:rsidRDefault="00892CBF" w:rsidP="00892CBF">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w:instrText>
      </w:r>
      <w:r w:rsidRPr="00695C93">
        <w:fldChar w:fldCharType="separate"/>
      </w:r>
      <w:r w:rsidR="00ED1D13">
        <w:rPr>
          <w:noProof/>
        </w:rPr>
        <w:instrText>4</w:instrText>
      </w:r>
      <w:r w:rsidR="00ED1D13"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Pr>
          <w:noProof/>
        </w:rPr>
        <w:instrText>A</w:instrText>
      </w:r>
      <w:r w:rsidR="00187D65">
        <w:rPr>
          <w:noProof/>
        </w:rPr>
        <w:fldChar w:fldCharType="end"/>
      </w:r>
      <w:r w:rsidRPr="00695C93">
        <w:instrText xml:space="preserve">." </w:instrText>
      </w:r>
      <w:r w:rsidRPr="00695C93">
        <w:fldChar w:fldCharType="separate"/>
      </w:r>
      <w:r w:rsidR="008A2B2B">
        <w:rPr>
          <w:noProof/>
        </w:rPr>
        <w:instrText>4</w:instrText>
      </w:r>
      <w:r w:rsidR="008A2B2B"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0</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sidR="00ED1D13">
        <w:rPr>
          <w:noProof/>
        </w:rPr>
        <w:instrText>4</w:instrText>
      </w:r>
      <w:r w:rsidR="00187D65">
        <w:rPr>
          <w:noProof/>
        </w:rPr>
        <w:fldChar w:fldCharType="end"/>
      </w:r>
      <w:r w:rsidRPr="00695C93">
        <w:instrText xml:space="preserve"> = 0 "" "1" </w:instrText>
      </w:r>
      <w:r w:rsidRPr="00695C93">
        <w:fldChar w:fldCharType="separate"/>
      </w:r>
      <w:r w:rsidR="008A2B2B" w:rsidRPr="00695C93">
        <w:rPr>
          <w:noProof/>
        </w:rPr>
        <w:instrText>1</w:instrText>
      </w:r>
      <w:r w:rsidRPr="00695C93">
        <w:fldChar w:fldCharType="end"/>
      </w:r>
      <w:r w:rsidRPr="00695C93">
        <w:instrText xml:space="preserve">" "6" </w:instrText>
      </w:r>
      <w:r w:rsidRPr="00695C93">
        <w:fldChar w:fldCharType="separate"/>
      </w:r>
      <w:r w:rsidR="008A2B2B" w:rsidRPr="00695C93">
        <w:rPr>
          <w:noProof/>
        </w:rPr>
        <w:instrText>1</w:instrText>
      </w:r>
      <w:r w:rsidRPr="00695C93">
        <w:fldChar w:fldCharType="end"/>
      </w:r>
      <w:r w:rsidRPr="00695C93">
        <w:instrText xml:space="preserve"> </w:instrText>
      </w:r>
      <w:r w:rsidRPr="00695C93">
        <w:fldChar w:fldCharType="separate"/>
      </w:r>
      <w:r w:rsidR="00ED1D13">
        <w:rPr>
          <w:noProof/>
        </w:rPr>
        <w:instrText>6</w:instrText>
      </w:r>
      <w:r w:rsidRPr="00695C93">
        <w:fldChar w:fldCharType="end"/>
      </w:r>
      <w:r w:rsidRPr="00695C93">
        <w:instrText xml:space="preserve">" "" </w:instrText>
      </w:r>
      <w:r w:rsidRPr="00695C93">
        <w:fldChar w:fldCharType="separate"/>
      </w:r>
      <w:bookmarkStart w:id="334" w:name="_Caption1829"/>
      <w:bookmarkStart w:id="335" w:name="_Caption2084"/>
      <w:bookmarkStart w:id="336" w:name="_Caption5098"/>
      <w:bookmarkStart w:id="337" w:name="_Caption5577"/>
      <w:bookmarkStart w:id="338" w:name="_Caption4441"/>
      <w:bookmarkStart w:id="339" w:name="_Caption7330"/>
      <w:bookmarkStart w:id="340" w:name="_Caption0513"/>
      <w:bookmarkStart w:id="341" w:name="_Caption4204"/>
      <w:bookmarkStart w:id="342" w:name="_Caption7582"/>
      <w:bookmarkStart w:id="343" w:name="_Caption0378"/>
      <w:bookmarkStart w:id="344" w:name="_Caption4017"/>
      <w:bookmarkStart w:id="345" w:name="_Caption5471"/>
      <w:bookmarkStart w:id="346" w:name="_Caption3214"/>
      <w:bookmarkStart w:id="347" w:name="_Caption4841"/>
      <w:bookmarkStart w:id="348" w:name="_Caption1960"/>
      <w:bookmarkStart w:id="349" w:name="_Caption6388"/>
      <w:bookmarkStart w:id="350" w:name="_Caption7896"/>
      <w:bookmarkStart w:id="351" w:name="_Caption2295"/>
      <w:bookmarkStart w:id="352" w:name="_Caption1195"/>
      <w:bookmarkStart w:id="353" w:name="_Caption2420"/>
      <w:bookmarkStart w:id="354" w:name="_Caption4928"/>
      <w:bookmarkStart w:id="355" w:name="_Caption2025"/>
      <w:bookmarkStart w:id="356" w:name="_Caption4313"/>
      <w:bookmarkStart w:id="357" w:name="_Caption8892"/>
      <w:bookmarkStart w:id="358" w:name="_Caption4212"/>
      <w:bookmarkStart w:id="359" w:name="_Caption7095"/>
      <w:bookmarkStart w:id="360" w:name="_Caption6006"/>
      <w:bookmarkStart w:id="361" w:name="_Caption3541"/>
      <w:bookmarkStart w:id="362" w:name="_Caption2946"/>
      <w:bookmarkStart w:id="363" w:name="_Caption6132"/>
      <w:bookmarkStart w:id="364" w:name="_Caption4459"/>
      <w:bookmarkStart w:id="365" w:name="_Caption6431"/>
      <w:bookmarkStart w:id="366" w:name="_Caption8233"/>
      <w:bookmarkStart w:id="367" w:name="_Toc9778480"/>
      <w:r w:rsidR="008A2B2B">
        <w:rPr>
          <w:noProof/>
        </w:rPr>
        <w:t>4</w:t>
      </w:r>
      <w:r w:rsidR="008A2B2B" w:rsidRPr="00695C93">
        <w:rPr>
          <w:noProof/>
        </w:rPr>
        <w:t>.</w:t>
      </w:r>
      <w:r w:rsidR="008A2B2B">
        <w:rPr>
          <w:noProof/>
        </w:rPr>
        <w:t>6</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95C93">
        <w:fldChar w:fldCharType="end"/>
      </w:r>
      <w:r>
        <w:tab/>
        <w:t xml:space="preserve">CCA </w:t>
      </w:r>
      <w:r w:rsidR="00DA28B8">
        <w:t>2016</w:t>
      </w:r>
      <w:r>
        <w:t xml:space="preserve"> Figure 1</w:t>
      </w:r>
      <w:bookmarkEnd w:id="367"/>
      <w:r w:rsidR="00BE7A16">
        <w:t xml:space="preserve"> </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892CBF" w14:paraId="07A5D537" w14:textId="77777777" w:rsidTr="000C6F31">
        <w:trPr>
          <w:cantSplit/>
          <w:trHeight w:val="142"/>
        </w:trPr>
        <w:tc>
          <w:tcPr>
            <w:tcW w:w="7938" w:type="dxa"/>
            <w:shd w:val="clear" w:color="auto" w:fill="E9E8E5" w:themeFill="background2"/>
          </w:tcPr>
          <w:p w14:paraId="098D2A8B" w14:textId="77777777" w:rsidR="00892CBF" w:rsidRDefault="00892CBF" w:rsidP="000C6F31">
            <w:pPr>
              <w:pStyle w:val="Chart"/>
              <w:rPr>
                <w:noProof/>
              </w:rPr>
            </w:pPr>
          </w:p>
        </w:tc>
      </w:tr>
      <w:tr w:rsidR="00892CBF" w14:paraId="682601FA" w14:textId="77777777" w:rsidTr="000C6F31">
        <w:trPr>
          <w:cantSplit/>
          <w:trHeight w:val="4536"/>
        </w:trPr>
        <w:tc>
          <w:tcPr>
            <w:tcW w:w="7938" w:type="dxa"/>
            <w:shd w:val="clear" w:color="auto" w:fill="E9E8E5" w:themeFill="background2"/>
          </w:tcPr>
          <w:p w14:paraId="7FF153BA" w14:textId="77777777" w:rsidR="00892CBF" w:rsidRDefault="00892CBF" w:rsidP="000C6F31">
            <w:pPr>
              <w:pStyle w:val="Chart"/>
              <w:jc w:val="center"/>
            </w:pPr>
            <w:r>
              <w:rPr>
                <w:noProof/>
              </w:rPr>
              <w:drawing>
                <wp:inline distT="0" distB="0" distL="0" distR="0" wp14:anchorId="0D1ECA9B" wp14:editId="714F5AB9">
                  <wp:extent cx="4665600" cy="35028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A 2017 Figure 1.png"/>
                          <pic:cNvPicPr/>
                        </pic:nvPicPr>
                        <pic:blipFill>
                          <a:blip r:embed="rId29">
                            <a:extLst>
                              <a:ext uri="{28A0092B-C50C-407E-A947-70E740481C1C}">
                                <a14:useLocalDpi xmlns:a14="http://schemas.microsoft.com/office/drawing/2010/main" val="0"/>
                              </a:ext>
                            </a:extLst>
                          </a:blip>
                          <a:stretch>
                            <a:fillRect/>
                          </a:stretch>
                        </pic:blipFill>
                        <pic:spPr>
                          <a:xfrm>
                            <a:off x="0" y="0"/>
                            <a:ext cx="4665600" cy="3502800"/>
                          </a:xfrm>
                          <a:prstGeom prst="rect">
                            <a:avLst/>
                          </a:prstGeom>
                        </pic:spPr>
                      </pic:pic>
                    </a:graphicData>
                  </a:graphic>
                </wp:inline>
              </w:drawing>
            </w:r>
          </w:p>
        </w:tc>
      </w:tr>
      <w:tr w:rsidR="00892CBF" w14:paraId="08D27335" w14:textId="77777777" w:rsidTr="000C6F31">
        <w:trPr>
          <w:cantSplit/>
          <w:trHeight w:val="142"/>
        </w:trPr>
        <w:tc>
          <w:tcPr>
            <w:tcW w:w="7938" w:type="dxa"/>
            <w:shd w:val="clear" w:color="auto" w:fill="E9E8E5" w:themeFill="background2"/>
          </w:tcPr>
          <w:p w14:paraId="1526B3F5" w14:textId="77777777" w:rsidR="00892CBF" w:rsidRDefault="00892CBF" w:rsidP="000C6F31">
            <w:pPr>
              <w:pStyle w:val="Chart"/>
              <w:rPr>
                <w:noProof/>
              </w:rPr>
            </w:pPr>
          </w:p>
        </w:tc>
      </w:tr>
    </w:tbl>
    <w:p w14:paraId="0C9A6A62" w14:textId="77777777" w:rsidR="00892CBF" w:rsidRPr="00763EFD" w:rsidRDefault="00892CBF" w:rsidP="00892CBF">
      <w:pPr>
        <w:pStyle w:val="Source"/>
      </w:pPr>
      <w:r>
        <w:rPr>
          <w:i/>
        </w:rPr>
        <w:t xml:space="preserve">Note: </w:t>
      </w:r>
      <w:r>
        <w:t>Direct costs are defined as resource costs in electricity generation sector</w:t>
      </w:r>
    </w:p>
    <w:p w14:paraId="1AEFF8F0" w14:textId="795D39C0" w:rsidR="00892CBF" w:rsidRDefault="00892CBF" w:rsidP="00892CBF">
      <w:pPr>
        <w:pStyle w:val="Source"/>
      </w:pPr>
      <w:r>
        <w:rPr>
          <w:i/>
        </w:rPr>
        <w:t>Data source</w:t>
      </w:r>
      <w:r w:rsidRPr="00A67576">
        <w:rPr>
          <w:i/>
        </w:rPr>
        <w:t>:</w:t>
      </w:r>
      <w:r>
        <w:t xml:space="preserve"> </w:t>
      </w:r>
      <w:r w:rsidR="00BE7A16">
        <w:t>CCA 2016</w:t>
      </w:r>
    </w:p>
    <w:p w14:paraId="0788064C" w14:textId="5A7C3C0E" w:rsidR="00581B16" w:rsidRDefault="00581B16" w:rsidP="00581B16">
      <w:pPr>
        <w:pStyle w:val="Heading3"/>
        <w:rPr>
          <w:lang w:bidi="fa-IR"/>
        </w:rPr>
      </w:pPr>
      <w:r>
        <w:rPr>
          <w:lang w:bidi="fa-IR"/>
        </w:rPr>
        <w:t>Exogenous vs endogenous costs</w:t>
      </w:r>
    </w:p>
    <w:p w14:paraId="62795684" w14:textId="48031B7C" w:rsidR="00FA5111" w:rsidRDefault="00581B16" w:rsidP="00581B16">
      <w:pPr>
        <w:pStyle w:val="BodyText"/>
        <w:rPr>
          <w:lang w:bidi="fa-IR"/>
        </w:rPr>
      </w:pPr>
      <w:r>
        <w:rPr>
          <w:lang w:bidi="fa-IR"/>
        </w:rPr>
        <w:t xml:space="preserve">There is a deeper issue of whether technology costs and abatement costs (more generally) are </w:t>
      </w:r>
      <w:r w:rsidRPr="00581B16">
        <w:rPr>
          <w:lang w:bidi="fa-IR"/>
        </w:rPr>
        <w:t>exogenous</w:t>
      </w:r>
      <w:r>
        <w:rPr>
          <w:lang w:bidi="fa-IR"/>
        </w:rPr>
        <w:t xml:space="preserve"> or endogenous.</w:t>
      </w:r>
      <w:r w:rsidRPr="00581B16">
        <w:rPr>
          <w:lang w:bidi="fa-IR"/>
        </w:rPr>
        <w:t xml:space="preserve"> </w:t>
      </w:r>
      <w:r>
        <w:rPr>
          <w:lang w:bidi="fa-IR"/>
        </w:rPr>
        <w:t>Costs are exogenous if they are independent of efforts to reduce emissions. An explicit assumption of Treasury &amp; DIICSTRE 2013 is that technology costs are exogenous (i.e. determined by outside trends).</w:t>
      </w:r>
      <w:r>
        <w:rPr>
          <w:rStyle w:val="FootnoteReference"/>
          <w:lang w:bidi="fa-IR"/>
        </w:rPr>
        <w:footnoteReference w:id="9"/>
      </w:r>
      <w:r>
        <w:rPr>
          <w:lang w:bidi="fa-IR"/>
        </w:rPr>
        <w:t xml:space="preserve"> </w:t>
      </w:r>
      <w:r w:rsidR="00FA5111">
        <w:rPr>
          <w:lang w:bidi="fa-IR"/>
        </w:rPr>
        <w:t xml:space="preserve">As explained in Chapter 3, it is likely we have accounted for this </w:t>
      </w:r>
      <w:r w:rsidR="00FC005E">
        <w:rPr>
          <w:lang w:bidi="fa-IR"/>
        </w:rPr>
        <w:t xml:space="preserve">(to some extent) </w:t>
      </w:r>
      <w:r w:rsidR="00FA5111">
        <w:rPr>
          <w:lang w:bidi="fa-IR"/>
        </w:rPr>
        <w:t>by using a range of cost curves, as accepting a flatter cost curve is consistent with thinking endogeneity in costs is a factor that will lower future costs of emissions reduction</w:t>
      </w:r>
      <w:r w:rsidR="00B21866">
        <w:rPr>
          <w:lang w:bidi="fa-IR"/>
        </w:rPr>
        <w:t xml:space="preserve"> in Australia</w:t>
      </w:r>
      <w:r w:rsidR="00FA5111">
        <w:rPr>
          <w:lang w:bidi="fa-IR"/>
        </w:rPr>
        <w:t>.</w:t>
      </w:r>
    </w:p>
    <w:p w14:paraId="78A10637" w14:textId="77777777" w:rsidR="007A384A" w:rsidRPr="003966C8" w:rsidRDefault="007A384A" w:rsidP="007A384A">
      <w:pPr>
        <w:pStyle w:val="Heading1"/>
        <w:numPr>
          <w:ilvl w:val="0"/>
          <w:numId w:val="0"/>
        </w:numPr>
      </w:pPr>
      <w:bookmarkStart w:id="368" w:name="_Toc9778463"/>
      <w:r w:rsidRPr="003966C8">
        <w:lastRenderedPageBreak/>
        <w:t>References</w:t>
      </w:r>
      <w:bookmarkEnd w:id="368"/>
    </w:p>
    <w:p w14:paraId="0F521B95" w14:textId="77777777" w:rsidR="00B04D76" w:rsidRDefault="00B04D76" w:rsidP="00C67246">
      <w:pPr>
        <w:pStyle w:val="Reference"/>
        <w:rPr>
          <w:lang w:bidi="fa-IR"/>
        </w:rPr>
      </w:pPr>
      <w:proofErr w:type="spellStart"/>
      <w:r>
        <w:rPr>
          <w:lang w:bidi="fa-IR"/>
        </w:rPr>
        <w:t>BAEconomics</w:t>
      </w:r>
      <w:proofErr w:type="spellEnd"/>
      <w:r>
        <w:rPr>
          <w:lang w:bidi="fa-IR"/>
        </w:rPr>
        <w:t xml:space="preserve"> (2012) </w:t>
      </w:r>
      <w:r>
        <w:rPr>
          <w:i/>
          <w:lang w:bidi="fa-IR"/>
        </w:rPr>
        <w:t xml:space="preserve">Implications of the RET for the Australian Economy </w:t>
      </w:r>
      <w:r>
        <w:rPr>
          <w:lang w:bidi="fa-IR"/>
        </w:rPr>
        <w:t>Report for APPEA (September 2012)</w:t>
      </w:r>
    </w:p>
    <w:p w14:paraId="68EE6FFD" w14:textId="1B8C09E1" w:rsidR="00B04D76" w:rsidRDefault="00B04D76" w:rsidP="00C67246">
      <w:pPr>
        <w:pStyle w:val="Reference"/>
      </w:pPr>
      <w:r>
        <w:t xml:space="preserve">CSIRO (2015) </w:t>
      </w:r>
      <w:r>
        <w:rPr>
          <w:i/>
        </w:rPr>
        <w:t>Australian National Outlook 2015 Technical Report Economic activity, resource use, environmental performance and living standards 1970-2050</w:t>
      </w:r>
      <w:r>
        <w:t xml:space="preserve"> (November 2015)</w:t>
      </w:r>
    </w:p>
    <w:p w14:paraId="6663B77B" w14:textId="5369F699" w:rsidR="004E097D" w:rsidRDefault="004E097D" w:rsidP="00C67246">
      <w:pPr>
        <w:pStyle w:val="Reference"/>
      </w:pPr>
      <w:r>
        <w:t xml:space="preserve">Commonwealth Treasury 2011, </w:t>
      </w:r>
      <w:r>
        <w:rPr>
          <w:i/>
        </w:rPr>
        <w:t>Strong growth low pollution</w:t>
      </w:r>
      <w:r>
        <w:t xml:space="preserve"> 2011</w:t>
      </w:r>
    </w:p>
    <w:p w14:paraId="4DBBAAD1" w14:textId="384A5E35" w:rsidR="00B04D76" w:rsidRDefault="00B04D76" w:rsidP="00C67246">
      <w:pPr>
        <w:pStyle w:val="Reference"/>
        <w:rPr>
          <w:i/>
          <w:lang w:bidi="fa-IR"/>
        </w:rPr>
      </w:pPr>
      <w:r>
        <w:t xml:space="preserve">Commonwealth Treasury &amp; Department of Industry, Innovation, Climate Change, Science, Research and Tertiary Education (DIICSTRE) </w:t>
      </w:r>
      <w:r>
        <w:rPr>
          <w:i/>
          <w:lang w:bidi="fa-IR"/>
        </w:rPr>
        <w:t>Climate Change Mitigation Scenarios Modelling report provided to the Climate Change Authority in support of its Caps and Targets Review</w:t>
      </w:r>
    </w:p>
    <w:p w14:paraId="161EEF2F" w14:textId="5A888E07" w:rsidR="00B04D76" w:rsidRDefault="00B04D76" w:rsidP="00C67246">
      <w:pPr>
        <w:pStyle w:val="Reference"/>
        <w:rPr>
          <w:lang w:bidi="fa-IR"/>
        </w:rPr>
      </w:pPr>
      <w:r>
        <w:rPr>
          <w:lang w:bidi="fa-IR"/>
        </w:rPr>
        <w:t xml:space="preserve">Climate Change Authority (2016) </w:t>
      </w:r>
      <w:r>
        <w:rPr>
          <w:i/>
          <w:lang w:bidi="fa-IR"/>
        </w:rPr>
        <w:t xml:space="preserve">Policy Options for Australia’s Electricity Sector Special Review Research Report </w:t>
      </w:r>
      <w:r>
        <w:rPr>
          <w:lang w:bidi="fa-IR"/>
        </w:rPr>
        <w:t>(August 2016)</w:t>
      </w:r>
    </w:p>
    <w:p w14:paraId="357FE4F7" w14:textId="77777777" w:rsidR="00B04D76" w:rsidRDefault="00B04D76" w:rsidP="00C67246">
      <w:pPr>
        <w:pStyle w:val="Reference"/>
        <w:rPr>
          <w:lang w:bidi="fa-IR"/>
        </w:rPr>
      </w:pPr>
      <w:proofErr w:type="spellStart"/>
      <w:r>
        <w:rPr>
          <w:lang w:bidi="fa-IR"/>
        </w:rPr>
        <w:t>Goulder</w:t>
      </w:r>
      <w:proofErr w:type="spellEnd"/>
      <w:r>
        <w:rPr>
          <w:lang w:bidi="fa-IR"/>
        </w:rPr>
        <w:t xml:space="preserve"> L H &amp; Mathai K (2000) </w:t>
      </w:r>
      <w:r>
        <w:rPr>
          <w:i/>
          <w:lang w:bidi="fa-IR"/>
        </w:rPr>
        <w:t>Optimal CO</w:t>
      </w:r>
      <w:r>
        <w:rPr>
          <w:i/>
          <w:vertAlign w:val="subscript"/>
          <w:lang w:bidi="fa-IR"/>
        </w:rPr>
        <w:t>2</w:t>
      </w:r>
      <w:r>
        <w:rPr>
          <w:i/>
          <w:lang w:bidi="fa-IR"/>
        </w:rPr>
        <w:t xml:space="preserve"> abatement in the presence of induced technical change </w:t>
      </w:r>
      <w:r>
        <w:rPr>
          <w:lang w:bidi="fa-IR"/>
        </w:rPr>
        <w:t>Journal of Environmental Economics and Management 39 1-38 (2000)</w:t>
      </w:r>
    </w:p>
    <w:p w14:paraId="696E5FDE" w14:textId="11A3DE73" w:rsidR="00305026" w:rsidRDefault="00305026" w:rsidP="00C67246">
      <w:pPr>
        <w:pStyle w:val="Reference"/>
      </w:pPr>
      <w:r>
        <w:t xml:space="preserve">McKibbin Software Group (McKibbin) (2015), </w:t>
      </w:r>
      <w:r>
        <w:rPr>
          <w:i/>
        </w:rPr>
        <w:t xml:space="preserve">Report 1: 2015 Economic Modelling of International Action Under a New Global Climate Change Agreement </w:t>
      </w:r>
      <w:r>
        <w:t>(August 2015).</w:t>
      </w:r>
    </w:p>
    <w:p w14:paraId="56998E49" w14:textId="1F82D3F6" w:rsidR="00E94E2F" w:rsidRPr="00305026" w:rsidRDefault="00E94E2F" w:rsidP="00C67246">
      <w:pPr>
        <w:pStyle w:val="Reference"/>
      </w:pPr>
      <w:r>
        <w:t xml:space="preserve">Nordhaus, W. 2008 </w:t>
      </w:r>
      <w:r w:rsidRPr="00E94E2F">
        <w:rPr>
          <w:i/>
        </w:rPr>
        <w:t>A Question of Balance: Weighing the Options on Global Warming Policies</w:t>
      </w:r>
      <w:r>
        <w:t>, Yale University Press, New Haven and London.</w:t>
      </w:r>
    </w:p>
    <w:p w14:paraId="547873D3" w14:textId="6AD3891D" w:rsidR="007A384A" w:rsidRDefault="00305026" w:rsidP="00C67246">
      <w:pPr>
        <w:pStyle w:val="Reference"/>
        <w:rPr>
          <w:lang w:bidi="fa-IR"/>
        </w:rPr>
      </w:pPr>
      <w:r>
        <w:rPr>
          <w:lang w:bidi="fa-IR"/>
        </w:rPr>
        <w:t xml:space="preserve">Pearce D &amp; McKibbin W J (2007) </w:t>
      </w:r>
      <w:r>
        <w:rPr>
          <w:i/>
          <w:lang w:bidi="fa-IR"/>
        </w:rPr>
        <w:t xml:space="preserve">Two Issues in Carbon Pricing: timing and competitiveness </w:t>
      </w:r>
      <w:r>
        <w:rPr>
          <w:lang w:bidi="fa-IR"/>
        </w:rPr>
        <w:t>Lowy Institute Working Papers in International Economics no 1.07 (April 2007)</w:t>
      </w:r>
    </w:p>
    <w:p w14:paraId="5040084F" w14:textId="5D7161E2" w:rsidR="00B04D76" w:rsidRDefault="00B04D76" w:rsidP="00C67246">
      <w:pPr>
        <w:pStyle w:val="Reference"/>
        <w:rPr>
          <w:lang w:bidi="fa-IR"/>
        </w:rPr>
      </w:pPr>
      <w:r>
        <w:rPr>
          <w:lang w:bidi="fa-IR"/>
        </w:rPr>
        <w:t xml:space="preserve">Pearce D (2012) </w:t>
      </w:r>
      <w:r>
        <w:rPr>
          <w:i/>
          <w:lang w:bidi="fa-IR"/>
        </w:rPr>
        <w:t xml:space="preserve">Policy Forum: Designing a Carbon Price Policy Empirical Uncertainties in Climate Policy Implementation </w:t>
      </w:r>
      <w:r>
        <w:rPr>
          <w:lang w:bidi="fa-IR"/>
        </w:rPr>
        <w:t xml:space="preserve">Journal </w:t>
      </w:r>
      <w:proofErr w:type="gramStart"/>
      <w:r>
        <w:rPr>
          <w:lang w:bidi="fa-IR"/>
        </w:rPr>
        <w:t>The</w:t>
      </w:r>
      <w:proofErr w:type="gramEnd"/>
      <w:r>
        <w:rPr>
          <w:lang w:bidi="fa-IR"/>
        </w:rPr>
        <w:t xml:space="preserve"> Australian Economic Review 45 1 pp 114-124</w:t>
      </w:r>
    </w:p>
    <w:p w14:paraId="61C4F277" w14:textId="2CDC819C" w:rsidR="00E94E2F" w:rsidRPr="00B04D76" w:rsidRDefault="00E94E2F" w:rsidP="00C67246">
      <w:pPr>
        <w:pStyle w:val="Reference"/>
        <w:rPr>
          <w:lang w:bidi="fa-IR"/>
        </w:rPr>
      </w:pPr>
      <w:r>
        <w:rPr>
          <w:lang w:bidi="fa-IR"/>
        </w:rPr>
        <w:t xml:space="preserve">Stern, N 2006, </w:t>
      </w:r>
      <w:r w:rsidRPr="00E94E2F">
        <w:rPr>
          <w:i/>
          <w:lang w:bidi="fa-IR"/>
        </w:rPr>
        <w:t>The Economics of Climate Change</w:t>
      </w:r>
      <w:r>
        <w:rPr>
          <w:lang w:bidi="fa-IR"/>
        </w:rPr>
        <w:t>, Cambridge University Press.</w:t>
      </w:r>
    </w:p>
    <w:p w14:paraId="5155B803" w14:textId="77777777" w:rsidR="00E218EB" w:rsidRDefault="00E218EB" w:rsidP="00E218EB">
      <w:pPr>
        <w:pStyle w:val="Reference"/>
      </w:pPr>
      <w:r>
        <w:t xml:space="preserve">Victorian Department of Environment, Land, Water and Planning, DELWP (2016) </w:t>
      </w:r>
      <w:r>
        <w:rPr>
          <w:i/>
        </w:rPr>
        <w:t>Confidential report prepared for internal use.</w:t>
      </w:r>
    </w:p>
    <w:p w14:paraId="4D9AE157" w14:textId="77777777" w:rsidR="00B04D76" w:rsidRPr="00B04D76" w:rsidRDefault="00B04D76" w:rsidP="00B04D76">
      <w:pPr>
        <w:pStyle w:val="BodyText"/>
        <w:rPr>
          <w:lang w:bidi="fa-IR"/>
        </w:rPr>
      </w:pPr>
    </w:p>
    <w:p w14:paraId="522F6587" w14:textId="3050D52F" w:rsidR="003001AD" w:rsidRDefault="005E05ED" w:rsidP="005E05ED">
      <w:pPr>
        <w:pStyle w:val="Heading6"/>
        <w:rPr>
          <w:lang w:bidi="fa-IR"/>
        </w:rPr>
      </w:pPr>
      <w:bookmarkStart w:id="369" w:name="_Toc9778464"/>
      <w:r>
        <w:rPr>
          <w:lang w:bidi="fa-IR"/>
        </w:rPr>
        <w:lastRenderedPageBreak/>
        <w:t>Detailed elasticity calculations</w:t>
      </w:r>
      <w:bookmarkEnd w:id="369"/>
    </w:p>
    <w:p w14:paraId="1967697A" w14:textId="4162B60D" w:rsidR="00BF1DDE" w:rsidRDefault="00BF1DDE" w:rsidP="00BF1DDE">
      <w:pPr>
        <w:pStyle w:val="BodyText"/>
        <w:rPr>
          <w:lang w:bidi="fa-IR"/>
        </w:rPr>
      </w:pPr>
      <w:r>
        <w:rPr>
          <w:lang w:bidi="fa-IR"/>
        </w:rPr>
        <w:t xml:space="preserve">This Appendix discusses the data and estimated relationships we use to calculate the GSI losses implied by </w:t>
      </w:r>
      <w:r w:rsidR="00273D7E">
        <w:rPr>
          <w:lang w:bidi="fa-IR"/>
        </w:rPr>
        <w:t>emissions reduction.</w:t>
      </w:r>
    </w:p>
    <w:p w14:paraId="02EEE133" w14:textId="5272DE07" w:rsidR="00273D7E" w:rsidRDefault="00EA5656" w:rsidP="00273D7E">
      <w:pPr>
        <w:pStyle w:val="Heading7"/>
        <w:rPr>
          <w:lang w:bidi="fa-IR"/>
        </w:rPr>
      </w:pPr>
      <w:r>
        <w:rPr>
          <w:lang w:bidi="fa-IR"/>
        </w:rPr>
        <w:t>Cost curve data</w:t>
      </w:r>
    </w:p>
    <w:p w14:paraId="14DA34FD" w14:textId="3B9D0F65" w:rsidR="00273D7E" w:rsidRDefault="00273D7E" w:rsidP="00273D7E">
      <w:pPr>
        <w:pStyle w:val="BodyText"/>
        <w:rPr>
          <w:lang w:bidi="fa-IR"/>
        </w:rPr>
      </w:pPr>
      <w:r>
        <w:rPr>
          <w:lang w:bidi="fa-IR"/>
        </w:rPr>
        <w:t xml:space="preserve">Chart </w:t>
      </w:r>
      <w:r>
        <w:rPr>
          <w:lang w:bidi="fa-IR"/>
        </w:rPr>
        <w:fldChar w:fldCharType="begin"/>
      </w:r>
      <w:r>
        <w:rPr>
          <w:lang w:bidi="fa-IR"/>
        </w:rPr>
        <w:instrText xml:space="preserve"> REF _Caption9305 </w:instrText>
      </w:r>
      <w:r>
        <w:rPr>
          <w:lang w:bidi="fa-IR"/>
        </w:rPr>
        <w:fldChar w:fldCharType="separate"/>
      </w:r>
      <w:r w:rsidR="00ED1D13">
        <w:rPr>
          <w:noProof/>
        </w:rPr>
        <w:t>3</w:t>
      </w:r>
      <w:r w:rsidR="00ED1D13" w:rsidRPr="00695C93">
        <w:rPr>
          <w:noProof/>
        </w:rPr>
        <w:t>.</w:t>
      </w:r>
      <w:r w:rsidR="00ED1D13">
        <w:rPr>
          <w:noProof/>
        </w:rPr>
        <w:t>3</w:t>
      </w:r>
      <w:r>
        <w:rPr>
          <w:lang w:bidi="fa-IR"/>
        </w:rPr>
        <w:fldChar w:fldCharType="end"/>
      </w:r>
      <w:r>
        <w:rPr>
          <w:lang w:bidi="fa-IR"/>
        </w:rPr>
        <w:t xml:space="preserve"> </w:t>
      </w:r>
      <w:r w:rsidR="00D66D54">
        <w:rPr>
          <w:lang w:bidi="fa-IR"/>
        </w:rPr>
        <w:t>illustrated</w:t>
      </w:r>
      <w:r w:rsidR="00256101">
        <w:rPr>
          <w:lang w:bidi="fa-IR"/>
        </w:rPr>
        <w:t xml:space="preserve"> </w:t>
      </w:r>
      <w:r>
        <w:rPr>
          <w:lang w:bidi="fa-IR"/>
        </w:rPr>
        <w:t>the percentage deviation in GSI from baseline against the percentage devia</w:t>
      </w:r>
      <w:r w:rsidR="00256101">
        <w:rPr>
          <w:lang w:bidi="fa-IR"/>
        </w:rPr>
        <w:t>tion in emissions from baseline, derived from different CGE studies</w:t>
      </w:r>
      <w:r w:rsidR="006D1E5E">
        <w:rPr>
          <w:lang w:bidi="fa-IR"/>
        </w:rPr>
        <w:t>.</w:t>
      </w:r>
    </w:p>
    <w:p w14:paraId="63C04D96" w14:textId="46092F8B" w:rsidR="00256101" w:rsidRDefault="00273D7E" w:rsidP="00273D7E">
      <w:pPr>
        <w:pStyle w:val="ListBullet"/>
        <w:rPr>
          <w:lang w:bidi="fa-IR"/>
        </w:rPr>
      </w:pPr>
      <w:r>
        <w:rPr>
          <w:lang w:bidi="fa-IR"/>
        </w:rPr>
        <w:t xml:space="preserve">From Treasury &amp; DIICSTIRE </w:t>
      </w:r>
      <w:r w:rsidR="00DA28B8">
        <w:rPr>
          <w:lang w:bidi="fa-IR"/>
        </w:rPr>
        <w:t>2013</w:t>
      </w:r>
      <w:r>
        <w:rPr>
          <w:lang w:bidi="fa-IR"/>
        </w:rPr>
        <w:t xml:space="preserve"> we show</w:t>
      </w:r>
      <w:r w:rsidR="00D66D54">
        <w:rPr>
          <w:lang w:bidi="fa-IR"/>
        </w:rPr>
        <w:t>ed</w:t>
      </w:r>
      <w:r>
        <w:rPr>
          <w:lang w:bidi="fa-IR"/>
        </w:rPr>
        <w:t xml:space="preserve"> data </w:t>
      </w:r>
      <w:r w:rsidR="00D01E59">
        <w:rPr>
          <w:lang w:bidi="fa-IR"/>
        </w:rPr>
        <w:t xml:space="preserve">from </w:t>
      </w:r>
      <w:r>
        <w:rPr>
          <w:lang w:bidi="fa-IR"/>
        </w:rPr>
        <w:t>all three scenarios: ‘low’ ‘central’ and ‘high’ carbon price.</w:t>
      </w:r>
      <w:r w:rsidR="00A40FC6">
        <w:rPr>
          <w:lang w:bidi="fa-IR"/>
        </w:rPr>
        <w:t xml:space="preserve"> The data are</w:t>
      </w:r>
      <w:r w:rsidR="006D1E5E">
        <w:rPr>
          <w:lang w:bidi="fa-IR"/>
        </w:rPr>
        <w:t xml:space="preserve"> </w:t>
      </w:r>
      <w:r w:rsidR="00256101">
        <w:rPr>
          <w:lang w:bidi="fa-IR"/>
        </w:rPr>
        <w:t xml:space="preserve">deviation in </w:t>
      </w:r>
      <w:r w:rsidR="006D1E5E">
        <w:rPr>
          <w:lang w:bidi="fa-IR"/>
        </w:rPr>
        <w:t>GNI per capita</w:t>
      </w:r>
      <w:r w:rsidR="00A40FC6">
        <w:rPr>
          <w:lang w:bidi="fa-IR"/>
        </w:rPr>
        <w:t xml:space="preserve">, </w:t>
      </w:r>
      <w:r w:rsidR="00256101">
        <w:rPr>
          <w:lang w:bidi="fa-IR"/>
        </w:rPr>
        <w:t>which is equivalent to deviation in GNI, as there is no variation in population across scenarios.</w:t>
      </w:r>
    </w:p>
    <w:p w14:paraId="352C889B" w14:textId="15330E8C" w:rsidR="00273D7E" w:rsidRDefault="00273D7E" w:rsidP="00273D7E">
      <w:pPr>
        <w:pStyle w:val="ListBullet"/>
        <w:rPr>
          <w:lang w:bidi="fa-IR"/>
        </w:rPr>
      </w:pPr>
      <w:r>
        <w:rPr>
          <w:lang w:bidi="fa-IR"/>
        </w:rPr>
        <w:t xml:space="preserve">From </w:t>
      </w:r>
      <w:r w:rsidR="00D66D54">
        <w:rPr>
          <w:lang w:bidi="fa-IR"/>
        </w:rPr>
        <w:t xml:space="preserve">DELWP 2016 </w:t>
      </w:r>
      <w:r>
        <w:rPr>
          <w:lang w:bidi="fa-IR"/>
        </w:rPr>
        <w:t>we show</w:t>
      </w:r>
      <w:r w:rsidR="00D66D54">
        <w:rPr>
          <w:lang w:bidi="fa-IR"/>
        </w:rPr>
        <w:t>ed</w:t>
      </w:r>
      <w:r>
        <w:rPr>
          <w:lang w:bidi="fa-IR"/>
        </w:rPr>
        <w:t xml:space="preserve"> data from </w:t>
      </w:r>
      <w:r w:rsidR="00D66D54">
        <w:rPr>
          <w:lang w:bidi="fa-IR"/>
        </w:rPr>
        <w:t xml:space="preserve">one </w:t>
      </w:r>
      <w:proofErr w:type="gramStart"/>
      <w:r w:rsidR="00D66D54">
        <w:rPr>
          <w:lang w:bidi="fa-IR"/>
        </w:rPr>
        <w:t>particular scenario</w:t>
      </w:r>
      <w:proofErr w:type="gramEnd"/>
      <w:r w:rsidR="006D1E5E">
        <w:rPr>
          <w:lang w:bidi="fa-IR"/>
        </w:rPr>
        <w:t>. The data are GSI data for Victoria.</w:t>
      </w:r>
    </w:p>
    <w:p w14:paraId="3B1BE5F6" w14:textId="4F7C8FEF" w:rsidR="006D1E5E" w:rsidRPr="00273D7E" w:rsidRDefault="006D1E5E" w:rsidP="00273D7E">
      <w:pPr>
        <w:pStyle w:val="ListBullet"/>
        <w:rPr>
          <w:lang w:bidi="fa-IR"/>
        </w:rPr>
      </w:pPr>
      <w:r>
        <w:rPr>
          <w:lang w:bidi="fa-IR"/>
        </w:rPr>
        <w:t>From CSIRO 2015 we show</w:t>
      </w:r>
      <w:r w:rsidR="00D66D54">
        <w:rPr>
          <w:lang w:bidi="fa-IR"/>
        </w:rPr>
        <w:t>ed</w:t>
      </w:r>
      <w:r>
        <w:rPr>
          <w:lang w:bidi="fa-IR"/>
        </w:rPr>
        <w:t xml:space="preserve"> data from the ‘mixed’ scenario against th</w:t>
      </w:r>
      <w:r w:rsidR="00A40FC6">
        <w:rPr>
          <w:lang w:bidi="fa-IR"/>
        </w:rPr>
        <w:t xml:space="preserve">e materials intensive baseline. </w:t>
      </w:r>
      <w:r w:rsidR="00256101">
        <w:rPr>
          <w:lang w:bidi="fa-IR"/>
        </w:rPr>
        <w:t>CSIRO</w:t>
      </w:r>
      <w:r w:rsidR="000D77ED">
        <w:rPr>
          <w:lang w:bidi="fa-IR"/>
        </w:rPr>
        <w:t xml:space="preserve"> also report a </w:t>
      </w:r>
      <w:r w:rsidR="00256101">
        <w:rPr>
          <w:lang w:bidi="fa-IR"/>
        </w:rPr>
        <w:t>‘stretch’ scenario</w:t>
      </w:r>
      <w:r w:rsidR="006A54F6">
        <w:rPr>
          <w:lang w:bidi="fa-IR"/>
        </w:rPr>
        <w:t xml:space="preserve"> where annual net emissions drop to -216MtCO</w:t>
      </w:r>
      <w:r w:rsidR="006A54F6">
        <w:rPr>
          <w:vertAlign w:val="subscript"/>
          <w:lang w:bidi="fa-IR"/>
        </w:rPr>
        <w:t>2</w:t>
      </w:r>
      <w:r w:rsidR="006A54F6">
        <w:rPr>
          <w:lang w:bidi="fa-IR"/>
        </w:rPr>
        <w:t xml:space="preserve">e. We </w:t>
      </w:r>
      <w:r w:rsidR="00256101">
        <w:rPr>
          <w:lang w:bidi="fa-IR"/>
        </w:rPr>
        <w:t>do not use</w:t>
      </w:r>
      <w:r w:rsidR="006A54F6">
        <w:rPr>
          <w:lang w:bidi="fa-IR"/>
        </w:rPr>
        <w:t xml:space="preserve"> this scenario</w:t>
      </w:r>
      <w:r w:rsidR="00256101">
        <w:rPr>
          <w:lang w:bidi="fa-IR"/>
        </w:rPr>
        <w:t>.</w:t>
      </w:r>
    </w:p>
    <w:p w14:paraId="661D2858" w14:textId="2F0E7E0D" w:rsidR="00273D7E" w:rsidRDefault="006D1E5E" w:rsidP="006D1E5E">
      <w:pPr>
        <w:pStyle w:val="Heading7"/>
        <w:rPr>
          <w:lang w:bidi="fa-IR"/>
        </w:rPr>
      </w:pPr>
      <w:r>
        <w:rPr>
          <w:lang w:bidi="fa-IR"/>
        </w:rPr>
        <w:t>Estimated relationship between emissions and GSI</w:t>
      </w:r>
    </w:p>
    <w:p w14:paraId="5A06732A" w14:textId="7C0DD82D" w:rsidR="000D77ED" w:rsidRPr="000D77ED" w:rsidRDefault="000D77ED" w:rsidP="000D77ED">
      <w:pPr>
        <w:pStyle w:val="BodyText"/>
        <w:rPr>
          <w:lang w:bidi="fa-IR"/>
        </w:rPr>
      </w:pPr>
      <w:r>
        <w:rPr>
          <w:lang w:bidi="fa-IR"/>
        </w:rPr>
        <w:t>From these cost curves,</w:t>
      </w:r>
      <w:r w:rsidR="00217A75">
        <w:rPr>
          <w:lang w:bidi="fa-IR"/>
        </w:rPr>
        <w:t xml:space="preserve"> we derive</w:t>
      </w:r>
      <w:r>
        <w:rPr>
          <w:lang w:bidi="fa-IR"/>
        </w:rPr>
        <w:t xml:space="preserve"> mathematical relationship</w:t>
      </w:r>
      <w:r w:rsidR="00217A75">
        <w:rPr>
          <w:lang w:bidi="fa-IR"/>
        </w:rPr>
        <w:t>s</w:t>
      </w:r>
      <w:r>
        <w:rPr>
          <w:lang w:bidi="fa-IR"/>
        </w:rPr>
        <w:t xml:space="preserve"> between deviation </w:t>
      </w:r>
      <w:r w:rsidR="00217A75">
        <w:rPr>
          <w:lang w:bidi="fa-IR"/>
        </w:rPr>
        <w:t>in</w:t>
      </w:r>
      <w:r>
        <w:rPr>
          <w:lang w:bidi="fa-IR"/>
        </w:rPr>
        <w:t xml:space="preserve"> GSI and deviation in emissions, which is what we use to derive implied GSI loss from </w:t>
      </w:r>
      <w:r w:rsidR="00D01E59">
        <w:rPr>
          <w:lang w:bidi="fa-IR"/>
        </w:rPr>
        <w:t xml:space="preserve">the </w:t>
      </w:r>
      <w:r>
        <w:rPr>
          <w:lang w:bidi="fa-IR"/>
        </w:rPr>
        <w:t>emissions scenarios</w:t>
      </w:r>
      <w:r w:rsidR="00D01E59">
        <w:rPr>
          <w:lang w:bidi="fa-IR"/>
        </w:rPr>
        <w:t xml:space="preserve"> under consideration</w:t>
      </w:r>
      <w:r>
        <w:rPr>
          <w:lang w:bidi="fa-IR"/>
        </w:rPr>
        <w:t>.</w:t>
      </w:r>
    </w:p>
    <w:p w14:paraId="4CDB559A" w14:textId="17FF8F51" w:rsidR="006D1E5E" w:rsidRDefault="006D1E5E" w:rsidP="006D1E5E">
      <w:pPr>
        <w:pStyle w:val="Heading8"/>
        <w:rPr>
          <w:lang w:bidi="fa-IR"/>
        </w:rPr>
      </w:pPr>
      <w:r>
        <w:rPr>
          <w:lang w:bidi="fa-IR"/>
        </w:rPr>
        <w:t>Treasury &amp; DIICSTRE (</w:t>
      </w:r>
      <w:r w:rsidR="00DA28B8">
        <w:rPr>
          <w:lang w:bidi="fa-IR"/>
        </w:rPr>
        <w:t>2013</w:t>
      </w:r>
      <w:r>
        <w:rPr>
          <w:lang w:bidi="fa-IR"/>
        </w:rPr>
        <w:t>)</w:t>
      </w:r>
    </w:p>
    <w:p w14:paraId="4D8D8C35" w14:textId="195D8917" w:rsidR="006D1E5E" w:rsidRDefault="006D1E5E" w:rsidP="006D1E5E">
      <w:pPr>
        <w:pStyle w:val="BodyText"/>
        <w:rPr>
          <w:lang w:bidi="fa-IR"/>
        </w:rPr>
      </w:pPr>
      <w:r>
        <w:rPr>
          <w:lang w:bidi="fa-IR"/>
        </w:rPr>
        <w:t>An exponential trend line may fit the data for Treasury &amp; DIICTRE (</w:t>
      </w:r>
      <w:r w:rsidR="00DA28B8">
        <w:rPr>
          <w:lang w:bidi="fa-IR"/>
        </w:rPr>
        <w:t>2013</w:t>
      </w:r>
      <w:r>
        <w:rPr>
          <w:lang w:bidi="fa-IR"/>
        </w:rPr>
        <w:t>) well</w:t>
      </w:r>
      <w:r w:rsidR="00715318">
        <w:rPr>
          <w:lang w:bidi="fa-IR"/>
        </w:rPr>
        <w:t>.</w:t>
      </w:r>
      <w:r>
        <w:rPr>
          <w:lang w:bidi="fa-IR"/>
        </w:rPr>
        <w:t xml:space="preserve"> However, an exponential relationship would generate extremely large deviations in GSI for very large reductions in emissions (i.e. economic activity falls </w:t>
      </w:r>
      <w:r w:rsidR="003034DD">
        <w:rPr>
          <w:lang w:bidi="fa-IR"/>
        </w:rPr>
        <w:t>by a large amount relative to baseline)</w:t>
      </w:r>
      <w:r>
        <w:rPr>
          <w:lang w:bidi="fa-IR"/>
        </w:rPr>
        <w:t>. Reductions in emissions of the order of 100 per cent were beyond the scope of t</w:t>
      </w:r>
      <w:r w:rsidR="00217A75">
        <w:rPr>
          <w:lang w:bidi="fa-IR"/>
        </w:rPr>
        <w:t xml:space="preserve">he study of Treasury &amp; DIICTRE </w:t>
      </w:r>
      <w:r w:rsidR="00DA28B8">
        <w:rPr>
          <w:lang w:bidi="fa-IR"/>
        </w:rPr>
        <w:t>2013</w:t>
      </w:r>
      <w:r>
        <w:rPr>
          <w:lang w:bidi="fa-IR"/>
        </w:rPr>
        <w:t>.</w:t>
      </w:r>
    </w:p>
    <w:p w14:paraId="0C4189F8" w14:textId="4E0F8F33" w:rsidR="009C6B2B" w:rsidRDefault="009C6B2B" w:rsidP="006D1E5E">
      <w:pPr>
        <w:pStyle w:val="BodyText"/>
        <w:rPr>
          <w:lang w:bidi="fa-IR"/>
        </w:rPr>
      </w:pPr>
      <w:r>
        <w:rPr>
          <w:lang w:bidi="fa-IR"/>
        </w:rPr>
        <w:t>The following strategy (which we follow) has the effect of</w:t>
      </w:r>
      <w:r w:rsidR="002A75D6">
        <w:rPr>
          <w:lang w:bidi="fa-IR"/>
        </w:rPr>
        <w:t xml:space="preserve"> </w:t>
      </w:r>
      <w:proofErr w:type="spellStart"/>
      <w:r w:rsidR="002A75D6">
        <w:rPr>
          <w:lang w:bidi="fa-IR"/>
        </w:rPr>
        <w:t>linearising</w:t>
      </w:r>
      <w:proofErr w:type="spellEnd"/>
      <w:r w:rsidR="002A75D6">
        <w:rPr>
          <w:lang w:bidi="fa-IR"/>
        </w:rPr>
        <w:t xml:space="preserve"> the relationship between emissions reductions and GSI losses (relative to assuming an exponential relationship between the two).</w:t>
      </w:r>
      <w:r w:rsidR="00284EFA">
        <w:rPr>
          <w:lang w:bidi="fa-IR"/>
        </w:rPr>
        <w:t xml:space="preserve"> </w:t>
      </w:r>
    </w:p>
    <w:p w14:paraId="18E737F0" w14:textId="76E709C6" w:rsidR="006D1E5E" w:rsidRDefault="003034DD" w:rsidP="006D1E5E">
      <w:pPr>
        <w:pStyle w:val="BodyText"/>
        <w:rPr>
          <w:lang w:bidi="fa-IR"/>
        </w:rPr>
      </w:pPr>
      <w:r>
        <w:rPr>
          <w:lang w:bidi="fa-IR"/>
        </w:rPr>
        <w:t xml:space="preserve">We estimate a relationship between the elasticity of </w:t>
      </w:r>
      <w:r w:rsidR="002A75D6">
        <w:rPr>
          <w:lang w:bidi="fa-IR"/>
        </w:rPr>
        <w:t>GSI losses (relative to baseline) and emissions reductions relative to baseline.</w:t>
      </w:r>
    </w:p>
    <w:p w14:paraId="00D1458D" w14:textId="77777777" w:rsidR="005E05ED" w:rsidRPr="00CB0B49" w:rsidRDefault="005E05ED" w:rsidP="005E05ED">
      <w:pPr>
        <w:pStyle w:val="BodyText"/>
        <w:rPr>
          <w:lang w:bidi="fa-IR"/>
        </w:rPr>
      </w:pPr>
      <m:oMathPara>
        <m:oMath>
          <m:r>
            <w:rPr>
              <w:rFonts w:ascii="Cambria Math" w:hAnsi="Cambria Math"/>
              <w:lang w:bidi="fa-IR"/>
            </w:rPr>
            <w:lastRenderedPageBreak/>
            <m:t>elasticity of GSI with respect to emissions =</m:t>
          </m:r>
          <m:f>
            <m:fPr>
              <m:ctrlPr>
                <w:rPr>
                  <w:rFonts w:ascii="Cambria Math" w:hAnsi="Cambria Math"/>
                  <w:lang w:bidi="fa-IR"/>
                </w:rPr>
              </m:ctrlPr>
            </m:fPr>
            <m:num>
              <m:r>
                <w:rPr>
                  <w:rFonts w:ascii="Cambria Math" w:hAnsi="Cambria Math"/>
                  <w:lang w:bidi="fa-IR"/>
                </w:rPr>
                <m:t>per cent deviation in GSI from baseline</m:t>
              </m:r>
            </m:num>
            <m:den>
              <m:r>
                <w:rPr>
                  <w:rFonts w:ascii="Cambria Math" w:hAnsi="Cambria Math"/>
                  <w:lang w:bidi="fa-IR"/>
                </w:rPr>
                <m:t>per cent deviation in emissions from baseline</m:t>
              </m:r>
            </m:den>
          </m:f>
        </m:oMath>
      </m:oMathPara>
    </w:p>
    <w:p w14:paraId="6A5894E3" w14:textId="074E7A41" w:rsidR="002A75D6" w:rsidRDefault="002A75D6" w:rsidP="005E05ED">
      <w:pPr>
        <w:pStyle w:val="BodyText"/>
        <w:rPr>
          <w:lang w:bidi="fa-IR"/>
        </w:rPr>
      </w:pPr>
      <w:r>
        <w:rPr>
          <w:lang w:bidi="fa-IR"/>
        </w:rPr>
        <w:t xml:space="preserve">The data for this relationship (multiplied by -1) </w:t>
      </w:r>
      <w:r w:rsidR="00217A75">
        <w:rPr>
          <w:lang w:bidi="fa-IR"/>
        </w:rPr>
        <w:t>are</w:t>
      </w:r>
      <w:r>
        <w:rPr>
          <w:lang w:bidi="fa-IR"/>
        </w:rPr>
        <w:t xml:space="preserve"> shown in Chart </w:t>
      </w:r>
      <w:r>
        <w:rPr>
          <w:lang w:bidi="fa-IR"/>
        </w:rPr>
        <w:fldChar w:fldCharType="begin"/>
      </w:r>
      <w:r>
        <w:rPr>
          <w:lang w:bidi="fa-IR"/>
        </w:rPr>
        <w:instrText xml:space="preserve"> REF _Caption1178 </w:instrText>
      </w:r>
      <w:r>
        <w:rPr>
          <w:lang w:bidi="fa-IR"/>
        </w:rPr>
        <w:fldChar w:fldCharType="separate"/>
      </w:r>
      <w:r w:rsidR="00ED1D13">
        <w:rPr>
          <w:noProof/>
        </w:rPr>
        <w:t>A</w:t>
      </w:r>
      <w:r w:rsidR="00ED1D13" w:rsidRPr="00695C93">
        <w:rPr>
          <w:noProof/>
        </w:rPr>
        <w:t>.</w:t>
      </w:r>
      <w:r w:rsidR="00ED1D13">
        <w:rPr>
          <w:noProof/>
        </w:rPr>
        <w:t>1</w:t>
      </w:r>
      <w:r>
        <w:rPr>
          <w:lang w:bidi="fa-IR"/>
        </w:rPr>
        <w:fldChar w:fldCharType="end"/>
      </w:r>
      <w:r>
        <w:rPr>
          <w:lang w:bidi="fa-IR"/>
        </w:rPr>
        <w:t>.</w:t>
      </w:r>
    </w:p>
    <w:p w14:paraId="5BD20F7F" w14:textId="455739E7" w:rsidR="002A75D6" w:rsidRPr="00695C93" w:rsidRDefault="002A75D6" w:rsidP="00431F8D">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w:instrText>
      </w:r>
      <w:r w:rsidRPr="00695C93">
        <w:fldChar w:fldCharType="separate"/>
      </w:r>
      <w:r w:rsidR="00ED1D13">
        <w:rPr>
          <w:noProof/>
        </w:rPr>
        <w:instrText>A</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370" w:name="_Caption0789"/>
      <w:bookmarkStart w:id="371" w:name="_Caption6593"/>
      <w:bookmarkStart w:id="372" w:name="_Caption9612"/>
      <w:bookmarkStart w:id="373" w:name="_Caption1178"/>
      <w:bookmarkStart w:id="374" w:name="_Caption6679"/>
      <w:bookmarkStart w:id="375" w:name="_Caption2057"/>
      <w:bookmarkStart w:id="376" w:name="_Caption7589"/>
      <w:bookmarkStart w:id="377" w:name="_Caption2653"/>
      <w:bookmarkStart w:id="378" w:name="_Caption7108"/>
      <w:bookmarkStart w:id="379" w:name="_Caption4713"/>
      <w:bookmarkStart w:id="380" w:name="_Caption9410"/>
      <w:bookmarkStart w:id="381" w:name="_Caption7455"/>
      <w:bookmarkStart w:id="382" w:name="_Caption8011"/>
      <w:bookmarkStart w:id="383" w:name="_Caption7632"/>
      <w:bookmarkStart w:id="384" w:name="_Caption2810"/>
      <w:bookmarkStart w:id="385" w:name="_Caption3117"/>
      <w:bookmarkStart w:id="386" w:name="_Toc9778481"/>
      <w:r w:rsidR="008A2B2B">
        <w:rPr>
          <w:noProof/>
        </w:rPr>
        <w:t>A</w:t>
      </w:r>
      <w:r w:rsidR="008A2B2B" w:rsidRPr="00695C93">
        <w:rPr>
          <w:noProof/>
        </w:rPr>
        <w:t>.</w:t>
      </w:r>
      <w:r w:rsidR="008A2B2B">
        <w:rPr>
          <w:noProof/>
        </w:rPr>
        <w:t>1</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695C93">
        <w:fldChar w:fldCharType="end"/>
      </w:r>
      <w:r w:rsidRPr="00695C93">
        <w:tab/>
      </w:r>
      <w:r w:rsidR="00284EFA">
        <w:t xml:space="preserve">Elasticity between </w:t>
      </w:r>
      <w:r w:rsidR="00482B0E">
        <w:t xml:space="preserve">deviation in GSI and deviation in emissions vs deviation in emissions (Treasury &amp; DIICSTRE </w:t>
      </w:r>
      <w:r w:rsidR="00DA28B8">
        <w:t>2013</w:t>
      </w:r>
      <w:r w:rsidR="00482B0E">
        <w:t>)</w:t>
      </w:r>
      <w:bookmarkEnd w:id="386"/>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2A75D6" w14:paraId="10757DC1" w14:textId="77777777" w:rsidTr="00431F8D">
        <w:trPr>
          <w:cantSplit/>
        </w:trPr>
        <w:tc>
          <w:tcPr>
            <w:tcW w:w="7938" w:type="dxa"/>
            <w:shd w:val="clear" w:color="auto" w:fill="E9E8E5" w:themeFill="background2"/>
          </w:tcPr>
          <w:p w14:paraId="24A95D85" w14:textId="53ACCA2E" w:rsidR="002A75D6" w:rsidRDefault="00B362E5" w:rsidP="00431F8D">
            <w:pPr>
              <w:pStyle w:val="Chart"/>
            </w:pPr>
            <w:r w:rsidRPr="00B362E5">
              <w:rPr>
                <w:noProof/>
              </w:rPr>
              <w:drawing>
                <wp:inline distT="0" distB="0" distL="0" distR="0" wp14:anchorId="55EC5F82" wp14:editId="27E69347">
                  <wp:extent cx="4858385" cy="2435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8385" cy="2435860"/>
                          </a:xfrm>
                          <a:prstGeom prst="rect">
                            <a:avLst/>
                          </a:prstGeom>
                          <a:noFill/>
                          <a:ln>
                            <a:noFill/>
                          </a:ln>
                        </pic:spPr>
                      </pic:pic>
                    </a:graphicData>
                  </a:graphic>
                </wp:inline>
              </w:drawing>
            </w:r>
          </w:p>
        </w:tc>
      </w:tr>
    </w:tbl>
    <w:p w14:paraId="2FA32CDE" w14:textId="24D9BD74" w:rsidR="002A75D6" w:rsidRDefault="002A75D6" w:rsidP="00431F8D">
      <w:pPr>
        <w:pStyle w:val="Source"/>
      </w:pPr>
      <w:r>
        <w:rPr>
          <w:i/>
        </w:rPr>
        <w:t>Data source</w:t>
      </w:r>
      <w:r w:rsidRPr="00A67576">
        <w:rPr>
          <w:i/>
        </w:rPr>
        <w:t>:</w:t>
      </w:r>
      <w:r>
        <w:t xml:space="preserve"> Treasury &amp; DIICSTRE </w:t>
      </w:r>
      <w:r w:rsidR="00DA28B8">
        <w:t>2013</w:t>
      </w:r>
      <w:r w:rsidR="00284EFA">
        <w:t>; The CIE</w:t>
      </w:r>
    </w:p>
    <w:p w14:paraId="6CBB1635" w14:textId="5675401C" w:rsidR="00EA5656" w:rsidRDefault="00EA5656" w:rsidP="00EA5656">
      <w:pPr>
        <w:pStyle w:val="BodyText"/>
        <w:rPr>
          <w:lang w:bidi="fa-IR"/>
        </w:rPr>
      </w:pPr>
      <w:r>
        <w:rPr>
          <w:lang w:bidi="fa-IR"/>
        </w:rPr>
        <w:t xml:space="preserve">We assume the intercept of </w:t>
      </w:r>
      <w:r w:rsidR="00217A75">
        <w:rPr>
          <w:lang w:bidi="fa-IR"/>
        </w:rPr>
        <w:t xml:space="preserve">the </w:t>
      </w:r>
      <w:r>
        <w:rPr>
          <w:lang w:bidi="fa-IR"/>
        </w:rPr>
        <w:t>linear relationship between elasticity and emissions is zero. Using ordinary least squares regression analysis, we estimate a slope coefficient of 0.0913 (t-stat: 17.1). The estimated relationship has an adjusted R-squared of 0.83</w:t>
      </w:r>
    </w:p>
    <w:p w14:paraId="05196E75" w14:textId="10E2A223" w:rsidR="00284EFA" w:rsidRDefault="00EA5656" w:rsidP="005E05ED">
      <w:pPr>
        <w:pStyle w:val="BodyText"/>
        <w:rPr>
          <w:lang w:bidi="fa-IR"/>
        </w:rPr>
      </w:pPr>
      <w:r>
        <w:rPr>
          <w:lang w:bidi="fa-IR"/>
        </w:rPr>
        <w:t xml:space="preserve">Using this information, </w:t>
      </w:r>
      <w:r w:rsidR="00284EFA">
        <w:rPr>
          <w:lang w:bidi="fa-IR"/>
        </w:rPr>
        <w:t xml:space="preserve">the total impact between </w:t>
      </w:r>
      <w:r w:rsidR="00482B0E">
        <w:rPr>
          <w:lang w:bidi="fa-IR"/>
        </w:rPr>
        <w:t>deviation</w:t>
      </w:r>
      <w:r w:rsidR="00284EFA">
        <w:rPr>
          <w:lang w:bidi="fa-IR"/>
        </w:rPr>
        <w:t xml:space="preserve"> in GSI and deviation in emissions is:</w:t>
      </w:r>
    </w:p>
    <w:p w14:paraId="0158A125" w14:textId="5290EE4A" w:rsidR="00284EFA" w:rsidRPr="00284EFA" w:rsidRDefault="00284EFA" w:rsidP="00284EFA">
      <w:pPr>
        <w:pStyle w:val="BodyText"/>
        <w:rPr>
          <w:i/>
          <w:lang w:bidi="fa-IR"/>
        </w:rPr>
      </w:pPr>
      <m:oMathPara>
        <m:oMath>
          <m:r>
            <w:rPr>
              <w:rFonts w:ascii="Cambria Math" w:hAnsi="Cambria Math"/>
              <w:lang w:bidi="fa-IR"/>
            </w:rPr>
            <m:t>deviation in GSI from baseline =elasticity</m:t>
          </m:r>
          <m:r>
            <m:rPr>
              <m:sty m:val="p"/>
            </m:rPr>
            <w:rPr>
              <w:rFonts w:ascii="Cambria Math" w:hAnsi="Cambria Math"/>
              <w:lang w:bidi="fa-IR"/>
            </w:rPr>
            <m:t xml:space="preserve"> </m:t>
          </m:r>
          <m:d>
            <m:dPr>
              <m:begChr m:val="["/>
              <m:endChr m:val="]"/>
              <m:ctrlPr>
                <w:rPr>
                  <w:rFonts w:ascii="Cambria Math" w:hAnsi="Cambria Math"/>
                  <w:lang w:bidi="fa-IR"/>
                </w:rPr>
              </m:ctrlPr>
            </m:dPr>
            <m:e>
              <m:r>
                <m:rPr>
                  <m:sty m:val="p"/>
                </m:rPr>
                <w:rPr>
                  <w:rFonts w:ascii="Cambria Math" w:hAnsi="Cambria Math"/>
                  <w:lang w:bidi="fa-IR"/>
                </w:rPr>
                <m:t>a linear fuction of deviaiton in emissions from baseline</m:t>
              </m:r>
            </m:e>
          </m:d>
          <m:r>
            <m:rPr>
              <m:sty m:val="p"/>
            </m:rPr>
            <w:rPr>
              <w:rFonts w:ascii="Cambria Math" w:hAnsi="Cambria Math"/>
              <w:lang w:bidi="fa-IR"/>
            </w:rPr>
            <m:t>*</m:t>
          </m:r>
          <m:r>
            <w:rPr>
              <w:rFonts w:ascii="Cambria Math" w:hAnsi="Cambria Math"/>
              <w:lang w:bidi="fa-IR"/>
            </w:rPr>
            <m:t xml:space="preserve">deviation in emissions from baseline </m:t>
          </m:r>
        </m:oMath>
      </m:oMathPara>
    </w:p>
    <w:p w14:paraId="4529D1DA" w14:textId="2E47AD2F" w:rsidR="00482B0E" w:rsidRDefault="00715318" w:rsidP="00482B0E">
      <w:pPr>
        <w:pStyle w:val="Heading8"/>
        <w:rPr>
          <w:lang w:bidi="fa-IR"/>
        </w:rPr>
      </w:pPr>
      <w:r>
        <w:rPr>
          <w:lang w:bidi="fa-IR"/>
        </w:rPr>
        <w:t>DELWP</w:t>
      </w:r>
      <w:r w:rsidR="00482B0E">
        <w:rPr>
          <w:lang w:bidi="fa-IR"/>
        </w:rPr>
        <w:t xml:space="preserve"> 2016</w:t>
      </w:r>
    </w:p>
    <w:p w14:paraId="3768442B" w14:textId="04F5A4DC" w:rsidR="00482B0E" w:rsidRDefault="00482B0E" w:rsidP="00482B0E">
      <w:pPr>
        <w:pStyle w:val="BodyText"/>
        <w:rPr>
          <w:lang w:bidi="fa-IR"/>
        </w:rPr>
      </w:pPr>
      <w:r w:rsidRPr="00715318">
        <w:rPr>
          <w:lang w:bidi="fa-IR"/>
        </w:rPr>
        <w:t>We</w:t>
      </w:r>
      <w:r>
        <w:rPr>
          <w:lang w:bidi="fa-IR"/>
        </w:rPr>
        <w:t xml:space="preserve"> follow the same approach </w:t>
      </w:r>
      <w:r w:rsidR="00715318">
        <w:rPr>
          <w:lang w:bidi="fa-IR"/>
        </w:rPr>
        <w:t>in using the DELWP 2016 data</w:t>
      </w:r>
      <w:r>
        <w:rPr>
          <w:lang w:bidi="fa-IR"/>
        </w:rPr>
        <w:t xml:space="preserve">. We estimate a slope coefficient </w:t>
      </w:r>
      <w:r w:rsidR="00AD5790">
        <w:rPr>
          <w:lang w:bidi="fa-IR"/>
        </w:rPr>
        <w:t>for the elasticity between GSI and emissions of 0.0121 (t: stat 29.6). The estimated relationship has an adjusted R-squared of 0.91.</w:t>
      </w:r>
    </w:p>
    <w:p w14:paraId="0E987719" w14:textId="47403631" w:rsidR="00482B0E" w:rsidRPr="00695C93" w:rsidRDefault="00482B0E" w:rsidP="00431F8D">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w:instrText>
      </w:r>
      <w:r w:rsidRPr="00695C93">
        <w:fldChar w:fldCharType="separate"/>
      </w:r>
      <w:r w:rsidR="00ED1D13">
        <w:rPr>
          <w:noProof/>
        </w:rPr>
        <w:instrText>A</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2</w:instrText>
      </w:r>
      <w:r w:rsidRPr="00695C93">
        <w:fldChar w:fldCharType="end"/>
      </w:r>
      <w:r w:rsidRPr="00695C93">
        <w:instrText xml:space="preserve">" "" </w:instrText>
      </w:r>
      <w:r w:rsidRPr="00695C93">
        <w:fldChar w:fldCharType="separate"/>
      </w:r>
      <w:bookmarkStart w:id="387" w:name="_Caption2467"/>
      <w:bookmarkStart w:id="388" w:name="_Caption0366"/>
      <w:bookmarkStart w:id="389" w:name="_Caption8234"/>
      <w:bookmarkStart w:id="390" w:name="_Caption2920"/>
      <w:bookmarkStart w:id="391" w:name="_Caption7498"/>
      <w:bookmarkStart w:id="392" w:name="_Caption9944"/>
      <w:bookmarkStart w:id="393" w:name="_Caption0214"/>
      <w:bookmarkStart w:id="394" w:name="_Caption4678"/>
      <w:bookmarkStart w:id="395" w:name="_Caption9238"/>
      <w:bookmarkStart w:id="396" w:name="_Caption1814"/>
      <w:bookmarkStart w:id="397" w:name="_Caption9211"/>
      <w:bookmarkStart w:id="398" w:name="_Caption2794"/>
      <w:bookmarkStart w:id="399" w:name="_Caption4687"/>
      <w:bookmarkStart w:id="400" w:name="_Caption4509"/>
      <w:bookmarkStart w:id="401" w:name="_Toc9778482"/>
      <w:r w:rsidR="008A2B2B">
        <w:rPr>
          <w:noProof/>
        </w:rPr>
        <w:t>A</w:t>
      </w:r>
      <w:r w:rsidR="008A2B2B" w:rsidRPr="00695C93">
        <w:rPr>
          <w:noProof/>
        </w:rPr>
        <w:t>.</w:t>
      </w:r>
      <w:r w:rsidR="008A2B2B">
        <w:rPr>
          <w:noProof/>
        </w:rPr>
        <w:t>2</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695C93">
        <w:fldChar w:fldCharType="end"/>
      </w:r>
      <w:r w:rsidRPr="00695C93">
        <w:tab/>
      </w:r>
      <w:r>
        <w:t>Elasticity between deviation in GSI and deviation in emissions vs deviation in emissions (</w:t>
      </w:r>
      <w:r w:rsidR="00715318">
        <w:t>DELWP</w:t>
      </w:r>
      <w:r>
        <w:t xml:space="preserve"> 2016)</w:t>
      </w:r>
      <w:bookmarkEnd w:id="401"/>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482B0E" w14:paraId="3027D228" w14:textId="77777777" w:rsidTr="00431F8D">
        <w:trPr>
          <w:cantSplit/>
        </w:trPr>
        <w:tc>
          <w:tcPr>
            <w:tcW w:w="7938" w:type="dxa"/>
            <w:shd w:val="clear" w:color="auto" w:fill="E9E8E5" w:themeFill="background2"/>
          </w:tcPr>
          <w:p w14:paraId="0A1DB14F" w14:textId="21653723" w:rsidR="00482B0E" w:rsidRDefault="00FB704F" w:rsidP="00FB704F">
            <w:pPr>
              <w:pStyle w:val="Chart"/>
              <w:jc w:val="center"/>
            </w:pPr>
            <w:r w:rsidRPr="00FB704F">
              <w:rPr>
                <w:noProof/>
              </w:rPr>
              <w:drawing>
                <wp:inline distT="0" distB="0" distL="0" distR="0" wp14:anchorId="6B38FD06" wp14:editId="453BC79A">
                  <wp:extent cx="4892675" cy="2524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2675" cy="2524125"/>
                          </a:xfrm>
                          <a:prstGeom prst="rect">
                            <a:avLst/>
                          </a:prstGeom>
                          <a:noFill/>
                          <a:ln>
                            <a:noFill/>
                          </a:ln>
                        </pic:spPr>
                      </pic:pic>
                    </a:graphicData>
                  </a:graphic>
                </wp:inline>
              </w:drawing>
            </w:r>
          </w:p>
        </w:tc>
      </w:tr>
    </w:tbl>
    <w:p w14:paraId="002D99E6" w14:textId="630B76C3" w:rsidR="00482B0E" w:rsidRDefault="00482B0E" w:rsidP="00431F8D">
      <w:pPr>
        <w:pStyle w:val="Source"/>
      </w:pPr>
      <w:r>
        <w:rPr>
          <w:i/>
        </w:rPr>
        <w:t>Data source</w:t>
      </w:r>
      <w:r w:rsidRPr="00A67576">
        <w:rPr>
          <w:i/>
        </w:rPr>
        <w:t>:</w:t>
      </w:r>
      <w:r>
        <w:t xml:space="preserve"> The CIE</w:t>
      </w:r>
    </w:p>
    <w:p w14:paraId="466428C4" w14:textId="1C56F3CC" w:rsidR="00284EFA" w:rsidRDefault="00EA5656" w:rsidP="00EA5656">
      <w:pPr>
        <w:pStyle w:val="Heading8"/>
        <w:rPr>
          <w:lang w:bidi="fa-IR"/>
        </w:rPr>
      </w:pPr>
      <w:r>
        <w:rPr>
          <w:lang w:bidi="fa-IR"/>
        </w:rPr>
        <w:t>CSIRO 2015</w:t>
      </w:r>
    </w:p>
    <w:p w14:paraId="561D6EC0" w14:textId="1AEC9EF9" w:rsidR="00284EFA" w:rsidRDefault="00EA5656" w:rsidP="005E05ED">
      <w:pPr>
        <w:pStyle w:val="BodyText"/>
        <w:rPr>
          <w:lang w:bidi="fa-IR"/>
        </w:rPr>
      </w:pPr>
      <w:r>
        <w:rPr>
          <w:lang w:bidi="fa-IR"/>
        </w:rPr>
        <w:t xml:space="preserve">The shape of the cost curve implied by the CSIRO data means it is inappropriate to model </w:t>
      </w:r>
      <w:r w:rsidR="00217A75">
        <w:rPr>
          <w:lang w:bidi="fa-IR"/>
        </w:rPr>
        <w:t xml:space="preserve">the elasticity between GSI and emissions as a </w:t>
      </w:r>
      <w:r w:rsidR="00430923">
        <w:rPr>
          <w:lang w:bidi="fa-IR"/>
        </w:rPr>
        <w:t xml:space="preserve">linear </w:t>
      </w:r>
      <w:r w:rsidR="00217A75">
        <w:rPr>
          <w:lang w:bidi="fa-IR"/>
        </w:rPr>
        <w:t>function of emissions.</w:t>
      </w:r>
    </w:p>
    <w:p w14:paraId="10BE0894" w14:textId="5FD9E656" w:rsidR="00217A75" w:rsidRDefault="00217A75" w:rsidP="005E05ED">
      <w:pPr>
        <w:pStyle w:val="BodyText"/>
        <w:rPr>
          <w:lang w:bidi="fa-IR"/>
        </w:rPr>
      </w:pPr>
      <w:r>
        <w:rPr>
          <w:lang w:bidi="fa-IR"/>
        </w:rPr>
        <w:t>Instead, we use ordinary least squares to model a linear relationship between deviation in GSI from baseline and deviation in emission from baseline directly, assuming an intercept of zero. The slope coefficient has an estimate of 0.0557 (t-stat = 24.77) and the adjusted R-squared is 0.916.</w:t>
      </w:r>
    </w:p>
    <w:p w14:paraId="39583DFD" w14:textId="5B106025" w:rsidR="00217A75" w:rsidRPr="00695C93" w:rsidRDefault="00217A75" w:rsidP="00217A75">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w:instrText>
      </w:r>
      <w:r w:rsidRPr="00695C93">
        <w:fldChar w:fldCharType="separate"/>
      </w:r>
      <w:r w:rsidR="00ED1D13">
        <w:rPr>
          <w:noProof/>
        </w:rPr>
        <w:instrText>A</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3</w:instrText>
      </w:r>
      <w:r w:rsidRPr="00695C93">
        <w:fldChar w:fldCharType="end"/>
      </w:r>
      <w:r w:rsidRPr="00695C93">
        <w:instrText xml:space="preserve">" "" </w:instrText>
      </w:r>
      <w:r w:rsidRPr="00695C93">
        <w:fldChar w:fldCharType="separate"/>
      </w:r>
      <w:bookmarkStart w:id="402" w:name="_Caption1950"/>
      <w:bookmarkStart w:id="403" w:name="_Caption5837"/>
      <w:bookmarkStart w:id="404" w:name="_Caption6834"/>
      <w:bookmarkStart w:id="405" w:name="_Toc9778483"/>
      <w:r w:rsidR="008A2B2B">
        <w:rPr>
          <w:noProof/>
        </w:rPr>
        <w:t>A</w:t>
      </w:r>
      <w:r w:rsidR="008A2B2B" w:rsidRPr="00695C93">
        <w:rPr>
          <w:noProof/>
        </w:rPr>
        <w:t>.</w:t>
      </w:r>
      <w:r w:rsidR="008A2B2B">
        <w:rPr>
          <w:noProof/>
        </w:rPr>
        <w:t>3</w:t>
      </w:r>
      <w:bookmarkEnd w:id="402"/>
      <w:bookmarkEnd w:id="403"/>
      <w:bookmarkEnd w:id="404"/>
      <w:r w:rsidRPr="00695C93">
        <w:fldChar w:fldCharType="end"/>
      </w:r>
      <w:r w:rsidRPr="00695C93">
        <w:tab/>
      </w:r>
      <w:r>
        <w:t>Deviation in GSI vs deviation in emissions (CSIRO 2015)</w:t>
      </w:r>
      <w:bookmarkEnd w:id="405"/>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217A75" w14:paraId="31734F3A" w14:textId="77777777" w:rsidTr="00FC005E">
        <w:trPr>
          <w:cantSplit/>
        </w:trPr>
        <w:tc>
          <w:tcPr>
            <w:tcW w:w="7938" w:type="dxa"/>
            <w:shd w:val="clear" w:color="auto" w:fill="E9E8E5" w:themeFill="background2"/>
          </w:tcPr>
          <w:p w14:paraId="094EDCA5" w14:textId="70D3A0B1" w:rsidR="00217A75" w:rsidRDefault="00217A75" w:rsidP="00FC005E">
            <w:pPr>
              <w:pStyle w:val="Chart"/>
              <w:jc w:val="center"/>
            </w:pPr>
            <w:r w:rsidRPr="00217A75">
              <w:rPr>
                <w:noProof/>
              </w:rPr>
              <w:drawing>
                <wp:inline distT="0" distB="0" distL="0" distR="0" wp14:anchorId="78C87F97" wp14:editId="6C00AC01">
                  <wp:extent cx="4858385" cy="2449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8385" cy="2449195"/>
                          </a:xfrm>
                          <a:prstGeom prst="rect">
                            <a:avLst/>
                          </a:prstGeom>
                          <a:noFill/>
                          <a:ln>
                            <a:noFill/>
                          </a:ln>
                        </pic:spPr>
                      </pic:pic>
                    </a:graphicData>
                  </a:graphic>
                </wp:inline>
              </w:drawing>
            </w:r>
          </w:p>
        </w:tc>
      </w:tr>
    </w:tbl>
    <w:p w14:paraId="2FB34122" w14:textId="77777777" w:rsidR="00217A75" w:rsidRDefault="00217A75" w:rsidP="00217A75">
      <w:pPr>
        <w:pStyle w:val="Source"/>
      </w:pPr>
      <w:r>
        <w:rPr>
          <w:i/>
        </w:rPr>
        <w:t>Data source</w:t>
      </w:r>
      <w:r w:rsidRPr="00A67576">
        <w:rPr>
          <w:i/>
        </w:rPr>
        <w:t>:</w:t>
      </w:r>
      <w:r>
        <w:t xml:space="preserve"> The CIE</w:t>
      </w:r>
    </w:p>
    <w:p w14:paraId="06CE2C34" w14:textId="665C22E4" w:rsidR="001B6AB5" w:rsidRDefault="001B6AB5" w:rsidP="001B6AB5">
      <w:pPr>
        <w:pStyle w:val="Heading7"/>
        <w:rPr>
          <w:lang w:eastAsia="en-US"/>
        </w:rPr>
      </w:pPr>
      <w:r>
        <w:rPr>
          <w:lang w:eastAsia="en-US"/>
        </w:rPr>
        <w:lastRenderedPageBreak/>
        <w:t>Cross-check</w:t>
      </w:r>
    </w:p>
    <w:p w14:paraId="77B37B49" w14:textId="543C7C66" w:rsidR="001B6AB5" w:rsidRDefault="00217A75" w:rsidP="001B6AB5">
      <w:pPr>
        <w:pStyle w:val="BodyText"/>
        <w:rPr>
          <w:lang w:eastAsia="en-US"/>
        </w:rPr>
      </w:pPr>
      <w:r>
        <w:rPr>
          <w:lang w:eastAsia="en-US"/>
        </w:rPr>
        <w:t>We use the relationships we estimate</w:t>
      </w:r>
      <w:r w:rsidR="000D2032">
        <w:rPr>
          <w:lang w:eastAsia="en-US"/>
        </w:rPr>
        <w:t>d</w:t>
      </w:r>
      <w:r>
        <w:rPr>
          <w:lang w:eastAsia="en-US"/>
        </w:rPr>
        <w:t xml:space="preserve"> for Treasury &amp; DIICSTRE 2013 and </w:t>
      </w:r>
      <w:r w:rsidR="00715318">
        <w:rPr>
          <w:lang w:eastAsia="en-US"/>
        </w:rPr>
        <w:t>DELWP</w:t>
      </w:r>
      <w:r>
        <w:rPr>
          <w:lang w:eastAsia="en-US"/>
        </w:rPr>
        <w:t xml:space="preserve"> 2016 for our </w:t>
      </w:r>
      <w:r w:rsidR="000D2032">
        <w:rPr>
          <w:lang w:eastAsia="en-US"/>
        </w:rPr>
        <w:t>results and discussion, so it is necessary to cross-check their accuracy and reasonableness.</w:t>
      </w:r>
    </w:p>
    <w:p w14:paraId="55065B85" w14:textId="1FBD5511" w:rsidR="000D2032" w:rsidRDefault="000D2032" w:rsidP="001B6AB5">
      <w:pPr>
        <w:pStyle w:val="BodyText"/>
        <w:rPr>
          <w:lang w:eastAsia="en-US"/>
        </w:rPr>
      </w:pPr>
      <w:r>
        <w:rPr>
          <w:lang w:eastAsia="en-US"/>
        </w:rPr>
        <w:t xml:space="preserve">If we apply the relationship we estimated from Treasury &amp; DICISTRE 2013 to emissions deviations reported in that study, we generate reasonable estimates for deviations in GSI. Chart </w:t>
      </w:r>
      <w:r>
        <w:rPr>
          <w:lang w:eastAsia="en-US"/>
        </w:rPr>
        <w:fldChar w:fldCharType="begin"/>
      </w:r>
      <w:r>
        <w:rPr>
          <w:lang w:eastAsia="en-US"/>
        </w:rPr>
        <w:instrText xml:space="preserve"> REF _Caption7481 </w:instrText>
      </w:r>
      <w:r>
        <w:rPr>
          <w:lang w:eastAsia="en-US"/>
        </w:rPr>
        <w:fldChar w:fldCharType="separate"/>
      </w:r>
      <w:r w:rsidR="00ED1D13">
        <w:rPr>
          <w:noProof/>
        </w:rPr>
        <w:t>A</w:t>
      </w:r>
      <w:r w:rsidR="00ED1D13" w:rsidRPr="00695C93">
        <w:rPr>
          <w:noProof/>
        </w:rPr>
        <w:t>.</w:t>
      </w:r>
      <w:r w:rsidR="00ED1D13">
        <w:rPr>
          <w:noProof/>
        </w:rPr>
        <w:t>4</w:t>
      </w:r>
      <w:r>
        <w:rPr>
          <w:lang w:eastAsia="en-US"/>
        </w:rPr>
        <w:fldChar w:fldCharType="end"/>
      </w:r>
      <w:r>
        <w:rPr>
          <w:lang w:eastAsia="en-US"/>
        </w:rPr>
        <w:t xml:space="preserve"> shows that our estimates, when plotted against reported deviations in GSI track either side of a </w:t>
      </w:r>
      <w:proofErr w:type="gramStart"/>
      <w:r>
        <w:rPr>
          <w:lang w:eastAsia="en-US"/>
        </w:rPr>
        <w:t>45 degree</w:t>
      </w:r>
      <w:proofErr w:type="gramEnd"/>
      <w:r>
        <w:rPr>
          <w:lang w:eastAsia="en-US"/>
        </w:rPr>
        <w:t xml:space="preserve"> line (perfect estimates would sit on the 45 degree line).</w:t>
      </w:r>
      <w:r w:rsidR="00E34D91">
        <w:rPr>
          <w:lang w:eastAsia="en-US"/>
        </w:rPr>
        <w:t xml:space="preserve"> The relationship is less accurate at highe</w:t>
      </w:r>
      <w:r w:rsidR="00894F61">
        <w:rPr>
          <w:lang w:eastAsia="en-US"/>
        </w:rPr>
        <w:t>r levels of emissions reduction.</w:t>
      </w:r>
    </w:p>
    <w:p w14:paraId="49EDC585" w14:textId="4842F54A" w:rsidR="000D2032" w:rsidRPr="00695C93" w:rsidRDefault="000D2032" w:rsidP="000D2032">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w:instrText>
      </w:r>
      <w:r w:rsidRPr="00695C93">
        <w:fldChar w:fldCharType="separate"/>
      </w:r>
      <w:r w:rsidR="00ED1D13">
        <w:rPr>
          <w:noProof/>
        </w:rPr>
        <w:instrText>A</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4</w:instrText>
      </w:r>
      <w:r w:rsidRPr="00695C93">
        <w:fldChar w:fldCharType="end"/>
      </w:r>
      <w:r w:rsidRPr="00695C93">
        <w:instrText xml:space="preserve">" "" </w:instrText>
      </w:r>
      <w:r w:rsidRPr="00695C93">
        <w:fldChar w:fldCharType="separate"/>
      </w:r>
      <w:bookmarkStart w:id="406" w:name="_Caption7481"/>
      <w:bookmarkStart w:id="407" w:name="_Caption8707"/>
      <w:bookmarkStart w:id="408" w:name="_Caption1760"/>
      <w:bookmarkStart w:id="409" w:name="_Toc9778484"/>
      <w:r w:rsidR="008A2B2B">
        <w:rPr>
          <w:noProof/>
        </w:rPr>
        <w:t>A</w:t>
      </w:r>
      <w:r w:rsidR="008A2B2B" w:rsidRPr="00695C93">
        <w:rPr>
          <w:noProof/>
        </w:rPr>
        <w:t>.</w:t>
      </w:r>
      <w:r w:rsidR="008A2B2B">
        <w:rPr>
          <w:noProof/>
        </w:rPr>
        <w:t>4</w:t>
      </w:r>
      <w:bookmarkEnd w:id="406"/>
      <w:bookmarkEnd w:id="407"/>
      <w:bookmarkEnd w:id="408"/>
      <w:r w:rsidRPr="00695C93">
        <w:fldChar w:fldCharType="end"/>
      </w:r>
      <w:r w:rsidRPr="00695C93">
        <w:tab/>
      </w:r>
      <w:r>
        <w:t>Estimates of deviation in GSI (CIE estimates) vs actual deviation in GSI (Treasury &amp; DIICSTRE 2013</w:t>
      </w:r>
      <w:bookmarkEnd w:id="409"/>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0D2032" w14:paraId="66A94FBC" w14:textId="77777777" w:rsidTr="00FC005E">
        <w:trPr>
          <w:cantSplit/>
        </w:trPr>
        <w:tc>
          <w:tcPr>
            <w:tcW w:w="7938" w:type="dxa"/>
            <w:shd w:val="clear" w:color="auto" w:fill="E9E8E5" w:themeFill="background2"/>
          </w:tcPr>
          <w:p w14:paraId="41BF6598" w14:textId="7BBC5F69" w:rsidR="000D2032" w:rsidRDefault="000D2032" w:rsidP="000D2032">
            <w:pPr>
              <w:pStyle w:val="Chart"/>
              <w:jc w:val="center"/>
            </w:pPr>
            <w:r>
              <w:rPr>
                <w:noProof/>
              </w:rPr>
              <mc:AlternateContent>
                <mc:Choice Requires="wps">
                  <w:drawing>
                    <wp:anchor distT="0" distB="0" distL="114300" distR="114300" simplePos="0" relativeHeight="251662336" behindDoc="0" locked="0" layoutInCell="1" allowOverlap="1" wp14:anchorId="04A54A5E" wp14:editId="6E10D107">
                      <wp:simplePos x="0" y="0"/>
                      <wp:positionH relativeFrom="column">
                        <wp:posOffset>706672</wp:posOffset>
                      </wp:positionH>
                      <wp:positionV relativeFrom="paragraph">
                        <wp:posOffset>157618</wp:posOffset>
                      </wp:positionV>
                      <wp:extent cx="3983604" cy="1860605"/>
                      <wp:effectExtent l="0" t="0" r="36195" b="25400"/>
                      <wp:wrapNone/>
                      <wp:docPr id="26" name="Straight Connector 26"/>
                      <wp:cNvGraphicFramePr/>
                      <a:graphic xmlns:a="http://schemas.openxmlformats.org/drawingml/2006/main">
                        <a:graphicData uri="http://schemas.microsoft.com/office/word/2010/wordprocessingShape">
                          <wps:wsp>
                            <wps:cNvCnPr/>
                            <wps:spPr>
                              <a:xfrm flipV="1">
                                <a:off x="0" y="0"/>
                                <a:ext cx="3983604" cy="1860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499B5" id="Straight Connector 2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65pt,12.4pt" to="369.3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" strokecolor="black [3213]"/>
                  </w:pict>
                </mc:Fallback>
              </mc:AlternateContent>
            </w:r>
            <w:r w:rsidRPr="000D2032">
              <w:rPr>
                <w:noProof/>
              </w:rPr>
              <w:drawing>
                <wp:inline distT="0" distB="0" distL="0" distR="0" wp14:anchorId="59B68388" wp14:editId="524C4579">
                  <wp:extent cx="4858385" cy="24491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8385" cy="2449195"/>
                          </a:xfrm>
                          <a:prstGeom prst="rect">
                            <a:avLst/>
                          </a:prstGeom>
                          <a:noFill/>
                          <a:ln>
                            <a:noFill/>
                          </a:ln>
                        </pic:spPr>
                      </pic:pic>
                    </a:graphicData>
                  </a:graphic>
                </wp:inline>
              </w:drawing>
            </w:r>
          </w:p>
        </w:tc>
      </w:tr>
    </w:tbl>
    <w:p w14:paraId="0864BF22" w14:textId="77777777" w:rsidR="000D2032" w:rsidRDefault="000D2032" w:rsidP="000D2032">
      <w:pPr>
        <w:pStyle w:val="Source"/>
      </w:pPr>
      <w:r>
        <w:rPr>
          <w:i/>
        </w:rPr>
        <w:t>Data source</w:t>
      </w:r>
      <w:r w:rsidRPr="00A67576">
        <w:rPr>
          <w:i/>
        </w:rPr>
        <w:t>:</w:t>
      </w:r>
      <w:r>
        <w:t xml:space="preserve"> The CIE</w:t>
      </w:r>
    </w:p>
    <w:p w14:paraId="76B16BFF" w14:textId="438E7987" w:rsidR="00E34D91" w:rsidRDefault="000D2032" w:rsidP="00E34D91">
      <w:pPr>
        <w:pStyle w:val="BodyText"/>
        <w:rPr>
          <w:lang w:eastAsia="en-US"/>
        </w:rPr>
      </w:pPr>
      <w:r>
        <w:rPr>
          <w:lang w:eastAsia="en-US"/>
        </w:rPr>
        <w:t xml:space="preserve">If we apply the relationship we estimated from </w:t>
      </w:r>
      <w:r w:rsidR="00715318">
        <w:rPr>
          <w:lang w:eastAsia="en-US"/>
        </w:rPr>
        <w:t>DELWP</w:t>
      </w:r>
      <w:r>
        <w:rPr>
          <w:lang w:eastAsia="en-US"/>
        </w:rPr>
        <w:t xml:space="preserve"> 2016 to emissions deviations, we generate </w:t>
      </w:r>
      <w:r w:rsidR="001B6AB5">
        <w:rPr>
          <w:lang w:eastAsia="en-US"/>
        </w:rPr>
        <w:t xml:space="preserve">estimates for GSI that align </w:t>
      </w:r>
      <w:r>
        <w:rPr>
          <w:lang w:eastAsia="en-US"/>
        </w:rPr>
        <w:t>reasonably well w</w:t>
      </w:r>
      <w:r w:rsidR="001B6AB5">
        <w:rPr>
          <w:lang w:eastAsia="en-US"/>
        </w:rPr>
        <w:t>ith data reporte</w:t>
      </w:r>
      <w:r w:rsidR="00715318">
        <w:rPr>
          <w:lang w:eastAsia="en-US"/>
        </w:rPr>
        <w:t>d</w:t>
      </w:r>
      <w:r>
        <w:rPr>
          <w:lang w:eastAsia="en-US"/>
        </w:rPr>
        <w:t xml:space="preserve">. </w:t>
      </w:r>
      <w:r w:rsidR="001B6AB5">
        <w:rPr>
          <w:lang w:eastAsia="en-US"/>
        </w:rPr>
        <w:t xml:space="preserve">Chart </w:t>
      </w:r>
      <w:r w:rsidR="0073267D">
        <w:rPr>
          <w:lang w:eastAsia="en-US"/>
        </w:rPr>
        <w:fldChar w:fldCharType="begin"/>
      </w:r>
      <w:r w:rsidR="0073267D">
        <w:rPr>
          <w:lang w:eastAsia="en-US"/>
        </w:rPr>
        <w:instrText xml:space="preserve"> REF _Caption0745 </w:instrText>
      </w:r>
      <w:r w:rsidR="0073267D">
        <w:rPr>
          <w:lang w:eastAsia="en-US"/>
        </w:rPr>
        <w:fldChar w:fldCharType="separate"/>
      </w:r>
      <w:r w:rsidR="00ED1D13">
        <w:rPr>
          <w:noProof/>
        </w:rPr>
        <w:t>A</w:t>
      </w:r>
      <w:r w:rsidR="00ED1D13" w:rsidRPr="00695C93">
        <w:rPr>
          <w:noProof/>
        </w:rPr>
        <w:t>.</w:t>
      </w:r>
      <w:r w:rsidR="00ED1D13">
        <w:rPr>
          <w:noProof/>
        </w:rPr>
        <w:t>5</w:t>
      </w:r>
      <w:r w:rsidR="0073267D">
        <w:rPr>
          <w:lang w:eastAsia="en-US"/>
        </w:rPr>
        <w:fldChar w:fldCharType="end"/>
      </w:r>
      <w:r w:rsidR="0073267D">
        <w:rPr>
          <w:lang w:eastAsia="en-US"/>
        </w:rPr>
        <w:t xml:space="preserve"> </w:t>
      </w:r>
      <w:r w:rsidR="00F708C8">
        <w:rPr>
          <w:lang w:eastAsia="en-US"/>
        </w:rPr>
        <w:t>shows that our estimates, when plotted against reported deviations i</w:t>
      </w:r>
      <w:r w:rsidR="00894F61">
        <w:rPr>
          <w:lang w:eastAsia="en-US"/>
        </w:rPr>
        <w:t xml:space="preserve">n GSI track either side of a </w:t>
      </w:r>
      <w:proofErr w:type="gramStart"/>
      <w:r w:rsidR="00894F61">
        <w:rPr>
          <w:lang w:eastAsia="en-US"/>
        </w:rPr>
        <w:t xml:space="preserve">45 </w:t>
      </w:r>
      <w:r w:rsidR="00F708C8">
        <w:rPr>
          <w:lang w:eastAsia="en-US"/>
        </w:rPr>
        <w:t>degree</w:t>
      </w:r>
      <w:proofErr w:type="gramEnd"/>
      <w:r w:rsidR="00F708C8">
        <w:rPr>
          <w:lang w:eastAsia="en-US"/>
        </w:rPr>
        <w:t xml:space="preserve"> line (perfect estimates would sit on the 45 degree line).</w:t>
      </w:r>
      <w:r w:rsidR="00E34D91">
        <w:rPr>
          <w:lang w:eastAsia="en-US"/>
        </w:rPr>
        <w:t xml:space="preserve"> The relationship is less accurate at higher</w:t>
      </w:r>
      <w:r w:rsidR="00894F61">
        <w:rPr>
          <w:lang w:eastAsia="en-US"/>
        </w:rPr>
        <w:t xml:space="preserve"> levels of emissions reduction.</w:t>
      </w:r>
    </w:p>
    <w:p w14:paraId="1F4B4C8C" w14:textId="4F3EB244" w:rsidR="001B6AB5" w:rsidRPr="00695C93" w:rsidRDefault="001B6AB5" w:rsidP="00431F8D">
      <w:pPr>
        <w:pStyle w:val="Caption"/>
      </w:pPr>
      <w:r w:rsidRPr="00695C93">
        <w:lastRenderedPageBreak/>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w:instrText>
      </w:r>
      <w:r w:rsidRPr="00695C93">
        <w:fldChar w:fldCharType="separate"/>
      </w:r>
      <w:r w:rsidR="00ED1D13">
        <w:rPr>
          <w:noProof/>
        </w:rPr>
        <w:instrText>A</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A</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5</w:instrText>
      </w:r>
      <w:r w:rsidRPr="00695C93">
        <w:fldChar w:fldCharType="end"/>
      </w:r>
      <w:r w:rsidRPr="00695C93">
        <w:instrText xml:space="preserve">" "" </w:instrText>
      </w:r>
      <w:r w:rsidRPr="00695C93">
        <w:fldChar w:fldCharType="separate"/>
      </w:r>
      <w:bookmarkStart w:id="410" w:name="_Caption9570"/>
      <w:bookmarkStart w:id="411" w:name="_Caption8468"/>
      <w:bookmarkStart w:id="412" w:name="_Caption6923"/>
      <w:bookmarkStart w:id="413" w:name="_Caption0745"/>
      <w:bookmarkStart w:id="414" w:name="_Caption7280"/>
      <w:bookmarkStart w:id="415" w:name="_Caption4630"/>
      <w:bookmarkStart w:id="416" w:name="_Caption1351"/>
      <w:bookmarkStart w:id="417" w:name="_Caption8627"/>
      <w:bookmarkStart w:id="418" w:name="_Caption0688"/>
      <w:bookmarkStart w:id="419" w:name="_Caption2802"/>
      <w:bookmarkStart w:id="420" w:name="_Caption2867"/>
      <w:bookmarkStart w:id="421" w:name="_Caption5967"/>
      <w:bookmarkStart w:id="422" w:name="_Caption0987"/>
      <w:bookmarkStart w:id="423" w:name="_Caption7991"/>
      <w:bookmarkStart w:id="424" w:name="_Toc9778485"/>
      <w:r w:rsidR="008A2B2B">
        <w:rPr>
          <w:noProof/>
        </w:rPr>
        <w:t>A</w:t>
      </w:r>
      <w:r w:rsidR="008A2B2B" w:rsidRPr="00695C93">
        <w:rPr>
          <w:noProof/>
        </w:rPr>
        <w:t>.</w:t>
      </w:r>
      <w:r w:rsidR="008A2B2B">
        <w:rPr>
          <w:noProof/>
        </w:rPr>
        <w:t>5</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695C93">
        <w:fldChar w:fldCharType="end"/>
      </w:r>
      <w:r w:rsidRPr="00695C93">
        <w:tab/>
      </w:r>
      <w:r>
        <w:t>Estimates of deviation in GSI (CIE estimates) vs actual deviation in GSI (</w:t>
      </w:r>
      <w:r w:rsidR="00715318">
        <w:t>DELWP</w:t>
      </w:r>
      <w:r>
        <w:t xml:space="preserve"> 2016)</w:t>
      </w:r>
      <w:bookmarkEnd w:id="424"/>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1B6AB5" w14:paraId="5707ED03" w14:textId="77777777" w:rsidTr="00431F8D">
        <w:trPr>
          <w:cantSplit/>
        </w:trPr>
        <w:tc>
          <w:tcPr>
            <w:tcW w:w="7938" w:type="dxa"/>
            <w:shd w:val="clear" w:color="auto" w:fill="E9E8E5" w:themeFill="background2"/>
          </w:tcPr>
          <w:p w14:paraId="26C4629D" w14:textId="3FAD5D61" w:rsidR="001B6AB5" w:rsidRDefault="000D2032" w:rsidP="00430923">
            <w:pPr>
              <w:pStyle w:val="Chart"/>
              <w:jc w:val="center"/>
            </w:pPr>
            <w:r>
              <w:rPr>
                <w:noProof/>
              </w:rPr>
              <mc:AlternateContent>
                <mc:Choice Requires="wps">
                  <w:drawing>
                    <wp:anchor distT="0" distB="0" distL="114300" distR="114300" simplePos="0" relativeHeight="251663360" behindDoc="0" locked="0" layoutInCell="1" allowOverlap="1" wp14:anchorId="32C4CE97" wp14:editId="698D86C5">
                      <wp:simplePos x="0" y="0"/>
                      <wp:positionH relativeFrom="column">
                        <wp:posOffset>647927</wp:posOffset>
                      </wp:positionH>
                      <wp:positionV relativeFrom="paragraph">
                        <wp:posOffset>159262</wp:posOffset>
                      </wp:positionV>
                      <wp:extent cx="4046562" cy="1877363"/>
                      <wp:effectExtent l="0" t="0" r="30480" b="27940"/>
                      <wp:wrapNone/>
                      <wp:docPr id="29" name="Straight Connector 29"/>
                      <wp:cNvGraphicFramePr/>
                      <a:graphic xmlns:a="http://schemas.openxmlformats.org/drawingml/2006/main">
                        <a:graphicData uri="http://schemas.microsoft.com/office/word/2010/wordprocessingShape">
                          <wps:wsp>
                            <wps:cNvCnPr/>
                            <wps:spPr>
                              <a:xfrm flipV="1">
                                <a:off x="0" y="0"/>
                                <a:ext cx="4046562" cy="1877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3827C" id="Straight Connector 2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55pt" to="369.6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" strokecolor="black [3213]"/>
                  </w:pict>
                </mc:Fallback>
              </mc:AlternateContent>
            </w:r>
            <w:r w:rsidR="00430923" w:rsidRPr="00430923">
              <w:rPr>
                <w:noProof/>
              </w:rPr>
              <w:drawing>
                <wp:inline distT="0" distB="0" distL="0" distR="0" wp14:anchorId="4422EF50" wp14:editId="29ADC016">
                  <wp:extent cx="4858385" cy="24498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8385" cy="2449830"/>
                          </a:xfrm>
                          <a:prstGeom prst="rect">
                            <a:avLst/>
                          </a:prstGeom>
                          <a:noFill/>
                          <a:ln>
                            <a:noFill/>
                          </a:ln>
                        </pic:spPr>
                      </pic:pic>
                    </a:graphicData>
                  </a:graphic>
                </wp:inline>
              </w:drawing>
            </w:r>
          </w:p>
        </w:tc>
      </w:tr>
    </w:tbl>
    <w:p w14:paraId="29CE2C77" w14:textId="46E4DCB8" w:rsidR="001B6AB5" w:rsidRDefault="001B6AB5" w:rsidP="00431F8D">
      <w:pPr>
        <w:pStyle w:val="Source"/>
      </w:pPr>
      <w:r>
        <w:rPr>
          <w:i/>
        </w:rPr>
        <w:t>Data source</w:t>
      </w:r>
      <w:r w:rsidRPr="00A67576">
        <w:rPr>
          <w:i/>
        </w:rPr>
        <w:t>:</w:t>
      </w:r>
      <w:r>
        <w:t xml:space="preserve"> The CIE</w:t>
      </w:r>
    </w:p>
    <w:p w14:paraId="4D81FD97" w14:textId="77777777" w:rsidR="00284EFA" w:rsidRDefault="00284EFA" w:rsidP="005E05ED">
      <w:pPr>
        <w:pStyle w:val="BodyText"/>
        <w:rPr>
          <w:lang w:bidi="fa-IR"/>
        </w:rPr>
      </w:pPr>
    </w:p>
    <w:p w14:paraId="355279C9" w14:textId="77777777" w:rsidR="00284EFA" w:rsidRDefault="00284EFA" w:rsidP="005E05ED">
      <w:pPr>
        <w:pStyle w:val="BodyText"/>
        <w:rPr>
          <w:lang w:bidi="fa-IR"/>
        </w:rPr>
      </w:pPr>
    </w:p>
    <w:p w14:paraId="71542564" w14:textId="03A1CE18" w:rsidR="00284EFA" w:rsidRDefault="00DC44AB" w:rsidP="00DC44AB">
      <w:pPr>
        <w:pStyle w:val="Heading6"/>
        <w:rPr>
          <w:lang w:bidi="fa-IR"/>
        </w:rPr>
      </w:pPr>
      <w:bookmarkStart w:id="425" w:name="_Toc9778465"/>
      <w:r>
        <w:rPr>
          <w:lang w:bidi="fa-IR"/>
        </w:rPr>
        <w:lastRenderedPageBreak/>
        <w:t>Sensitivity analysis</w:t>
      </w:r>
      <w:bookmarkEnd w:id="425"/>
    </w:p>
    <w:p w14:paraId="716C1D8C" w14:textId="5263AB09" w:rsidR="00DC44AB" w:rsidRDefault="00DC44AB" w:rsidP="00DC44AB">
      <w:pPr>
        <w:pStyle w:val="Heading7"/>
        <w:rPr>
          <w:lang w:bidi="fa-IR"/>
        </w:rPr>
      </w:pPr>
      <w:r>
        <w:rPr>
          <w:lang w:bidi="fa-IR"/>
        </w:rPr>
        <w:t>Baseline sensitivity</w:t>
      </w:r>
    </w:p>
    <w:p w14:paraId="331E1D8C" w14:textId="503E1B37" w:rsidR="00DC44AB" w:rsidRDefault="00DC44AB" w:rsidP="00DC44AB">
      <w:pPr>
        <w:pStyle w:val="BodyText"/>
        <w:rPr>
          <w:lang w:bidi="fa-IR"/>
        </w:rPr>
      </w:pPr>
      <w:r>
        <w:rPr>
          <w:lang w:bidi="fa-IR"/>
        </w:rPr>
        <w:t>The results presented in Chapter 3 are the loss of GSI, implied by the Department’s scenarios for emissions reductions relative to baseline emissions</w:t>
      </w:r>
      <w:r w:rsidR="008663E3">
        <w:rPr>
          <w:lang w:bidi="fa-IR"/>
        </w:rPr>
        <w:t>.</w:t>
      </w:r>
    </w:p>
    <w:p w14:paraId="4442FADF" w14:textId="27A088AD" w:rsidR="00DC44AB" w:rsidRDefault="003156D6" w:rsidP="00DC44AB">
      <w:pPr>
        <w:pStyle w:val="BodyText"/>
        <w:rPr>
          <w:lang w:bidi="fa-IR"/>
        </w:rPr>
      </w:pPr>
      <w:r>
        <w:rPr>
          <w:lang w:bidi="fa-IR"/>
        </w:rPr>
        <w:t>In this appendix we show the sensitivity of these results under alternative assumptions for baseline emissions</w:t>
      </w:r>
      <w:r w:rsidR="00DC44AB">
        <w:rPr>
          <w:lang w:bidi="fa-IR"/>
        </w:rPr>
        <w:t>.</w:t>
      </w:r>
      <w:r>
        <w:rPr>
          <w:lang w:bidi="fa-IR"/>
        </w:rPr>
        <w:t xml:space="preserve"> Chart B.1 shows our core baseline compared with high and low sensitivities.</w:t>
      </w:r>
    </w:p>
    <w:p w14:paraId="53B36BAB" w14:textId="112E4F42" w:rsidR="00DC44AB" w:rsidRDefault="00DC44AB" w:rsidP="00DC44AB">
      <w:pPr>
        <w:pStyle w:val="ListBullet"/>
        <w:rPr>
          <w:lang w:bidi="fa-IR"/>
        </w:rPr>
      </w:pPr>
      <w:r>
        <w:rPr>
          <w:lang w:bidi="fa-IR"/>
        </w:rPr>
        <w:t>In the Department’s scenario for emissions, emissions are constant across scenarios until 2020 (where they reach 102 MtCO</w:t>
      </w:r>
      <w:r>
        <w:rPr>
          <w:vertAlign w:val="subscript"/>
          <w:lang w:bidi="fa-IR"/>
        </w:rPr>
        <w:t>2</w:t>
      </w:r>
      <w:r>
        <w:rPr>
          <w:lang w:bidi="fa-IR"/>
        </w:rPr>
        <w:t xml:space="preserve">e). </w:t>
      </w:r>
      <w:proofErr w:type="gramStart"/>
      <w:r>
        <w:rPr>
          <w:lang w:bidi="fa-IR"/>
        </w:rPr>
        <w:t>So</w:t>
      </w:r>
      <w:proofErr w:type="gramEnd"/>
      <w:r>
        <w:rPr>
          <w:lang w:bidi="fa-IR"/>
        </w:rPr>
        <w:t xml:space="preserve"> our baseline assumptions apply from 202</w:t>
      </w:r>
      <w:r w:rsidR="00430923">
        <w:rPr>
          <w:lang w:bidi="fa-IR"/>
        </w:rPr>
        <w:t>1</w:t>
      </w:r>
      <w:r>
        <w:rPr>
          <w:lang w:bidi="fa-IR"/>
        </w:rPr>
        <w:t xml:space="preserve"> onwards.</w:t>
      </w:r>
    </w:p>
    <w:p w14:paraId="1940FA78" w14:textId="3B94AFA9" w:rsidR="005B6EBC" w:rsidRDefault="00DC589A" w:rsidP="003156D6">
      <w:pPr>
        <w:pStyle w:val="ListBullet"/>
        <w:rPr>
          <w:lang w:bidi="fa-IR"/>
        </w:rPr>
      </w:pPr>
      <w:r>
        <w:rPr>
          <w:lang w:bidi="fa-IR"/>
        </w:rPr>
        <w:t xml:space="preserve">To develop sensitivity analysis on the low side, we </w:t>
      </w:r>
      <w:r w:rsidR="000E48B4">
        <w:rPr>
          <w:lang w:bidi="fa-IR"/>
        </w:rPr>
        <w:t xml:space="preserve">assume emissions </w:t>
      </w:r>
      <w:r w:rsidR="009A666D">
        <w:rPr>
          <w:lang w:bidi="fa-IR"/>
        </w:rPr>
        <w:t xml:space="preserve">decline </w:t>
      </w:r>
      <w:r w:rsidR="005B6EBC">
        <w:rPr>
          <w:lang w:bidi="fa-IR"/>
        </w:rPr>
        <w:t xml:space="preserve">at </w:t>
      </w:r>
      <w:r w:rsidR="009A666D">
        <w:rPr>
          <w:lang w:bidi="fa-IR"/>
        </w:rPr>
        <w:t>1.5 </w:t>
      </w:r>
      <w:r w:rsidR="005B6EBC">
        <w:rPr>
          <w:lang w:bidi="fa-IR"/>
        </w:rPr>
        <w:t xml:space="preserve">per cent per year from 2021 onwards. </w:t>
      </w:r>
    </w:p>
    <w:p w14:paraId="1963A4A7" w14:textId="7BDBA85D" w:rsidR="009A666D" w:rsidRDefault="005B6EBC" w:rsidP="003156D6">
      <w:pPr>
        <w:pStyle w:val="ListBullet"/>
        <w:rPr>
          <w:lang w:bidi="fa-IR"/>
        </w:rPr>
      </w:pPr>
      <w:r>
        <w:rPr>
          <w:lang w:bidi="fa-IR"/>
        </w:rPr>
        <w:t>To develop a sensitivity on the high side, we assume emissions grow at 0.7 per cent per year form 2021 onwards</w:t>
      </w:r>
      <w:r w:rsidR="003156D6">
        <w:rPr>
          <w:lang w:bidi="fa-IR"/>
        </w:rPr>
        <w:t>.</w:t>
      </w:r>
    </w:p>
    <w:p w14:paraId="114A5D83" w14:textId="2DC2F149" w:rsidR="005B6EBC" w:rsidRDefault="005B6EBC" w:rsidP="005B6EBC">
      <w:pPr>
        <w:pStyle w:val="ListBullet"/>
        <w:numPr>
          <w:ilvl w:val="0"/>
          <w:numId w:val="0"/>
        </w:numPr>
        <w:ind w:left="284" w:hanging="284"/>
        <w:rPr>
          <w:lang w:bidi="fa-IR"/>
        </w:rPr>
      </w:pPr>
      <w:r>
        <w:rPr>
          <w:lang w:bidi="fa-IR"/>
        </w:rPr>
        <w:t xml:space="preserve">These alternative baselines are shown in Chart </w:t>
      </w:r>
      <w:r>
        <w:rPr>
          <w:lang w:bidi="fa-IR"/>
        </w:rPr>
        <w:fldChar w:fldCharType="begin"/>
      </w:r>
      <w:r>
        <w:rPr>
          <w:lang w:bidi="fa-IR"/>
        </w:rPr>
        <w:instrText xml:space="preserve"> REF _Caption2310 </w:instrText>
      </w:r>
      <w:r>
        <w:rPr>
          <w:lang w:bidi="fa-IR"/>
        </w:rPr>
        <w:fldChar w:fldCharType="separate"/>
      </w:r>
      <w:r w:rsidR="00ED1D13">
        <w:rPr>
          <w:noProof/>
        </w:rPr>
        <w:t>B</w:t>
      </w:r>
      <w:r w:rsidR="00ED1D13" w:rsidRPr="00695C93">
        <w:rPr>
          <w:noProof/>
        </w:rPr>
        <w:t>.</w:t>
      </w:r>
      <w:r w:rsidR="00ED1D13">
        <w:rPr>
          <w:noProof/>
        </w:rPr>
        <w:t>1</w:t>
      </w:r>
      <w:r>
        <w:rPr>
          <w:lang w:bidi="fa-IR"/>
        </w:rPr>
        <w:fldChar w:fldCharType="end"/>
      </w:r>
      <w:r>
        <w:rPr>
          <w:lang w:bidi="fa-IR"/>
        </w:rPr>
        <w:t>.</w:t>
      </w:r>
    </w:p>
    <w:p w14:paraId="575EF562" w14:textId="03DDB64B" w:rsidR="005B6EBC" w:rsidRPr="005B6EBC" w:rsidRDefault="005B6EBC" w:rsidP="00E65913">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426" w:name="_Caption6646"/>
      <w:bookmarkStart w:id="427" w:name="_Caption5468"/>
      <w:bookmarkStart w:id="428" w:name="_Caption2310"/>
      <w:bookmarkStart w:id="429" w:name="_Caption1383"/>
      <w:bookmarkStart w:id="430" w:name="_Caption0736"/>
      <w:bookmarkStart w:id="431" w:name="_Caption3490"/>
      <w:bookmarkStart w:id="432" w:name="_Caption1393"/>
      <w:bookmarkStart w:id="433" w:name="_Caption1102"/>
      <w:bookmarkStart w:id="434" w:name="_Caption1984"/>
      <w:bookmarkStart w:id="435" w:name="_Caption0912"/>
      <w:bookmarkStart w:id="436" w:name="_Toc9778486"/>
      <w:r w:rsidR="008A2B2B">
        <w:rPr>
          <w:noProof/>
        </w:rPr>
        <w:t>B</w:t>
      </w:r>
      <w:r w:rsidR="008A2B2B" w:rsidRPr="00695C93">
        <w:rPr>
          <w:noProof/>
        </w:rPr>
        <w:t>.</w:t>
      </w:r>
      <w:r w:rsidR="008A2B2B">
        <w:rPr>
          <w:noProof/>
        </w:rPr>
        <w:t>1</w:t>
      </w:r>
      <w:bookmarkEnd w:id="426"/>
      <w:bookmarkEnd w:id="427"/>
      <w:bookmarkEnd w:id="428"/>
      <w:bookmarkEnd w:id="429"/>
      <w:bookmarkEnd w:id="430"/>
      <w:bookmarkEnd w:id="431"/>
      <w:bookmarkEnd w:id="432"/>
      <w:bookmarkEnd w:id="433"/>
      <w:bookmarkEnd w:id="434"/>
      <w:bookmarkEnd w:id="435"/>
      <w:r w:rsidRPr="00695C93">
        <w:fldChar w:fldCharType="end"/>
      </w:r>
      <w:r w:rsidRPr="00695C93">
        <w:tab/>
      </w:r>
      <w:r>
        <w:t>Alternative baselines for Victoria emissions (Mt CO</w:t>
      </w:r>
      <w:r>
        <w:rPr>
          <w:vertAlign w:val="subscript"/>
        </w:rPr>
        <w:t>2</w:t>
      </w:r>
      <w:r>
        <w:t>e)</w:t>
      </w:r>
      <w:bookmarkEnd w:id="436"/>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5B6EBC" w14:paraId="09CCE3C3" w14:textId="77777777" w:rsidTr="00E65913">
        <w:trPr>
          <w:cantSplit/>
        </w:trPr>
        <w:tc>
          <w:tcPr>
            <w:tcW w:w="7938" w:type="dxa"/>
            <w:shd w:val="clear" w:color="auto" w:fill="E9E8E5" w:themeFill="background2"/>
          </w:tcPr>
          <w:p w14:paraId="70F889D7" w14:textId="6A4419BF" w:rsidR="005B6EBC" w:rsidRDefault="003156D6" w:rsidP="00E65913">
            <w:pPr>
              <w:pStyle w:val="Chart"/>
            </w:pPr>
            <w:r w:rsidRPr="003156D6">
              <w:rPr>
                <w:noProof/>
              </w:rPr>
              <w:drawing>
                <wp:inline distT="0" distB="0" distL="0" distR="0" wp14:anchorId="483DB313" wp14:editId="2EE38A79">
                  <wp:extent cx="5035550" cy="2584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5550" cy="2584450"/>
                          </a:xfrm>
                          <a:prstGeom prst="rect">
                            <a:avLst/>
                          </a:prstGeom>
                          <a:noFill/>
                          <a:ln>
                            <a:noFill/>
                          </a:ln>
                        </pic:spPr>
                      </pic:pic>
                    </a:graphicData>
                  </a:graphic>
                </wp:inline>
              </w:drawing>
            </w:r>
          </w:p>
        </w:tc>
      </w:tr>
    </w:tbl>
    <w:p w14:paraId="2116E4C9" w14:textId="24C0607B" w:rsidR="005B6EBC" w:rsidRDefault="005B6EBC" w:rsidP="00E65913">
      <w:pPr>
        <w:pStyle w:val="Source"/>
      </w:pPr>
      <w:r>
        <w:rPr>
          <w:i/>
        </w:rPr>
        <w:t>Data source</w:t>
      </w:r>
      <w:r w:rsidRPr="00A67576">
        <w:rPr>
          <w:i/>
        </w:rPr>
        <w:t>:</w:t>
      </w:r>
      <w:r>
        <w:t xml:space="preserve"> </w:t>
      </w:r>
      <w:r w:rsidR="003156D6">
        <w:t>CIE estimates</w:t>
      </w:r>
    </w:p>
    <w:p w14:paraId="2A6C5493" w14:textId="0A10C0BE" w:rsidR="005B6EBC" w:rsidRPr="004167EA" w:rsidRDefault="005B6EBC" w:rsidP="004167EA">
      <w:pPr>
        <w:pStyle w:val="BodyText"/>
        <w:rPr>
          <w:lang w:bidi="fa-IR"/>
        </w:rPr>
      </w:pPr>
      <w:r>
        <w:rPr>
          <w:lang w:bidi="fa-IR"/>
        </w:rPr>
        <w:t xml:space="preserve">The </w:t>
      </w:r>
      <w:r w:rsidR="00E23B45">
        <w:rPr>
          <w:lang w:bidi="fa-IR"/>
        </w:rPr>
        <w:t>key</w:t>
      </w:r>
      <w:r>
        <w:rPr>
          <w:lang w:bidi="fa-IR"/>
        </w:rPr>
        <w:t xml:space="preserve"> results do not </w:t>
      </w:r>
      <w:r w:rsidR="00E23B45">
        <w:rPr>
          <w:lang w:bidi="fa-IR"/>
        </w:rPr>
        <w:t xml:space="preserve">substantively </w:t>
      </w:r>
      <w:r>
        <w:rPr>
          <w:lang w:bidi="fa-IR"/>
        </w:rPr>
        <w:t xml:space="preserve">change under </w:t>
      </w:r>
      <w:r w:rsidR="00430923">
        <w:rPr>
          <w:lang w:bidi="fa-IR"/>
        </w:rPr>
        <w:t xml:space="preserve">different </w:t>
      </w:r>
      <w:r>
        <w:rPr>
          <w:lang w:bidi="fa-IR"/>
        </w:rPr>
        <w:t>alternatives for the baseline.</w:t>
      </w:r>
      <w:r w:rsidR="003C3135">
        <w:rPr>
          <w:lang w:bidi="fa-IR"/>
        </w:rPr>
        <w:t xml:space="preserve"> </w:t>
      </w:r>
      <w:r w:rsidR="004167EA">
        <w:rPr>
          <w:lang w:bidi="fa-IR"/>
        </w:rPr>
        <w:t xml:space="preserve">The scenario for emissions that sees emissions in 2030 65 per cent below 2005 levels (labelled </w:t>
      </w:r>
      <w:r w:rsidR="004167EA">
        <w:rPr>
          <w:i/>
          <w:lang w:bidi="fa-IR"/>
        </w:rPr>
        <w:t xml:space="preserve">VIC emissions (65% 2030) </w:t>
      </w:r>
      <w:r w:rsidR="004167EA">
        <w:rPr>
          <w:lang w:bidi="fa-IR"/>
        </w:rPr>
        <w:t xml:space="preserve">by the Department) implies the smallest </w:t>
      </w:r>
      <w:r w:rsidR="00430923">
        <w:rPr>
          <w:lang w:bidi="fa-IR"/>
        </w:rPr>
        <w:t xml:space="preserve">or equal smallest </w:t>
      </w:r>
      <w:r w:rsidR="004167EA">
        <w:rPr>
          <w:lang w:bidi="fa-IR"/>
        </w:rPr>
        <w:t xml:space="preserve">loss of GSI relative to baseline. Overall, the differences are small. If a flat cost </w:t>
      </w:r>
      <w:r w:rsidR="004167EA">
        <w:rPr>
          <w:lang w:bidi="fa-IR"/>
        </w:rPr>
        <w:lastRenderedPageBreak/>
        <w:t>curve is assumed, the differences are almost negligible. These results are robust to different scenarios for discount rates.</w:t>
      </w:r>
    </w:p>
    <w:p w14:paraId="2CAD6588" w14:textId="2743C998" w:rsidR="003C3135" w:rsidRDefault="003C3135" w:rsidP="003C3135">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w:instrText>
      </w:r>
      <w:r w:rsidRPr="00695C93">
        <w:fldChar w:fldCharType="separate"/>
      </w:r>
      <w:r>
        <w:rPr>
          <w:noProof/>
        </w:rPr>
        <w:instrText>3</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"1" </w:instrText>
      </w:r>
      <w:r w:rsidRPr="00695C93">
        <w:fldChar w:fldCharType="separate"/>
      </w:r>
      <w:r w:rsidR="00E77CED"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2</w:instrText>
      </w:r>
      <w:r w:rsidRPr="00695C93">
        <w:fldChar w:fldCharType="end"/>
      </w:r>
      <w:r w:rsidRPr="00695C93">
        <w:instrText xml:space="preserve">" "" </w:instrText>
      </w:r>
      <w:r w:rsidRPr="00695C93">
        <w:fldChar w:fldCharType="separate"/>
      </w:r>
      <w:bookmarkStart w:id="437" w:name="_Caption2278"/>
      <w:bookmarkStart w:id="438" w:name="_Caption6836"/>
      <w:bookmarkStart w:id="439" w:name="_Caption8012"/>
      <w:bookmarkStart w:id="440" w:name="_Caption3369"/>
      <w:bookmarkStart w:id="441" w:name="_Caption7255"/>
      <w:bookmarkStart w:id="442" w:name="_Caption2068"/>
      <w:bookmarkStart w:id="443" w:name="_Caption4374"/>
      <w:bookmarkStart w:id="444" w:name="_Caption8400"/>
      <w:bookmarkStart w:id="445" w:name="_Caption1640"/>
      <w:bookmarkStart w:id="446" w:name="_Toc9778487"/>
      <w:r w:rsidR="008A2B2B">
        <w:rPr>
          <w:noProof/>
        </w:rPr>
        <w:t>B</w:t>
      </w:r>
      <w:r w:rsidR="008A2B2B" w:rsidRPr="00695C93">
        <w:rPr>
          <w:noProof/>
        </w:rPr>
        <w:t>.</w:t>
      </w:r>
      <w:r w:rsidR="008A2B2B">
        <w:rPr>
          <w:noProof/>
        </w:rPr>
        <w:t>2</w:t>
      </w:r>
      <w:bookmarkEnd w:id="437"/>
      <w:bookmarkEnd w:id="438"/>
      <w:bookmarkEnd w:id="439"/>
      <w:bookmarkEnd w:id="440"/>
      <w:bookmarkEnd w:id="441"/>
      <w:bookmarkEnd w:id="442"/>
      <w:bookmarkEnd w:id="443"/>
      <w:bookmarkEnd w:id="444"/>
      <w:bookmarkEnd w:id="445"/>
      <w:r w:rsidRPr="00695C93">
        <w:fldChar w:fldCharType="end"/>
      </w:r>
      <w:r w:rsidRPr="00695C93">
        <w:tab/>
      </w:r>
      <w:r>
        <w:t>Discounted loss of GSI due to emissions reduction between 2020 and 2050 (share of baseline GSI 2020-2050), by scenario</w:t>
      </w:r>
      <w:r w:rsidR="00B97223">
        <w:t xml:space="preserve"> relative </w:t>
      </w:r>
      <w:r w:rsidR="003156D6">
        <w:t xml:space="preserve">to the core </w:t>
      </w:r>
      <w:r w:rsidR="00B97223">
        <w:t>baseline</w:t>
      </w:r>
      <w:bookmarkEnd w:id="446"/>
    </w:p>
    <w:tbl>
      <w:tblPr>
        <w:tblW w:w="8052" w:type="dxa"/>
        <w:tblLayout w:type="fixed"/>
        <w:tblLook w:val="04A0" w:firstRow="1" w:lastRow="0" w:firstColumn="1" w:lastColumn="0" w:noHBand="0" w:noVBand="1"/>
      </w:tblPr>
      <w:tblGrid>
        <w:gridCol w:w="1560"/>
        <w:gridCol w:w="1134"/>
        <w:gridCol w:w="1339"/>
        <w:gridCol w:w="1340"/>
        <w:gridCol w:w="1339"/>
        <w:gridCol w:w="1340"/>
      </w:tblGrid>
      <w:tr w:rsidR="003C3135" w:rsidRPr="00353EF0" w14:paraId="5AAC9748" w14:textId="77777777" w:rsidTr="00E65913">
        <w:trPr>
          <w:trHeight w:val="255"/>
        </w:trPr>
        <w:tc>
          <w:tcPr>
            <w:tcW w:w="1560" w:type="dxa"/>
            <w:tcBorders>
              <w:bottom w:val="single" w:sz="8" w:space="0" w:color="FFFFFF" w:themeColor="background1"/>
            </w:tcBorders>
            <w:shd w:val="clear" w:color="auto" w:fill="6F6652"/>
            <w:noWrap/>
            <w:tcMar>
              <w:left w:w="57" w:type="dxa"/>
              <w:right w:w="57" w:type="dxa"/>
            </w:tcMar>
            <w:hideMark/>
          </w:tcPr>
          <w:p w14:paraId="131CE2CF" w14:textId="77777777" w:rsidR="003C3135" w:rsidRPr="00353EF0" w:rsidRDefault="003C3135" w:rsidP="00E65913">
            <w:pPr>
              <w:pStyle w:val="TableDataColumnHeading"/>
              <w:jc w:val="left"/>
            </w:pPr>
            <w:r>
              <w:t>Cost curve</w:t>
            </w:r>
          </w:p>
        </w:tc>
        <w:tc>
          <w:tcPr>
            <w:tcW w:w="1134" w:type="dxa"/>
            <w:tcBorders>
              <w:bottom w:val="single" w:sz="8" w:space="0" w:color="FFFFFF" w:themeColor="background1"/>
            </w:tcBorders>
            <w:shd w:val="clear" w:color="auto" w:fill="6F6652"/>
            <w:noWrap/>
            <w:tcMar>
              <w:left w:w="57" w:type="dxa"/>
              <w:right w:w="57" w:type="dxa"/>
            </w:tcMar>
            <w:hideMark/>
          </w:tcPr>
          <w:p w14:paraId="5635CEDA" w14:textId="77777777" w:rsidR="003C3135" w:rsidRPr="00353EF0" w:rsidRDefault="003C3135" w:rsidP="00E65913">
            <w:pPr>
              <w:pStyle w:val="TableDataColumnHeading"/>
              <w:rPr>
                <w:rFonts w:ascii="Franklin Gothic Book" w:hAnsi="Franklin Gothic Book"/>
                <w:i/>
                <w:sz w:val="18"/>
              </w:rPr>
            </w:pPr>
            <w:r w:rsidRPr="00353EF0">
              <w:rPr>
                <w:i/>
              </w:rPr>
              <w:t>Discount rate</w:t>
            </w:r>
          </w:p>
        </w:tc>
        <w:tc>
          <w:tcPr>
            <w:tcW w:w="5358" w:type="dxa"/>
            <w:gridSpan w:val="4"/>
            <w:tcBorders>
              <w:bottom w:val="single" w:sz="8" w:space="0" w:color="FFFFFF" w:themeColor="background1"/>
            </w:tcBorders>
            <w:shd w:val="clear" w:color="auto" w:fill="6F6652"/>
            <w:noWrap/>
            <w:tcMar>
              <w:left w:w="57" w:type="dxa"/>
              <w:right w:w="57" w:type="dxa"/>
            </w:tcMar>
            <w:hideMark/>
          </w:tcPr>
          <w:p w14:paraId="694D6F1D" w14:textId="77777777" w:rsidR="003C3135" w:rsidRPr="00353EF0" w:rsidRDefault="003C3135" w:rsidP="00E65913">
            <w:pPr>
              <w:pStyle w:val="TableDataColumnHeading"/>
              <w:jc w:val="left"/>
              <w:rPr>
                <w:rFonts w:ascii="Franklin Gothic Book" w:hAnsi="Franklin Gothic Book"/>
                <w:sz w:val="18"/>
              </w:rPr>
            </w:pPr>
            <w:r>
              <w:t xml:space="preserve">Scenario: level of emissions in 2030 (reduction relative to 2005) </w:t>
            </w:r>
          </w:p>
        </w:tc>
      </w:tr>
      <w:tr w:rsidR="003C3135" w:rsidRPr="00353EF0" w14:paraId="2AE22EE7" w14:textId="77777777" w:rsidTr="003C3135">
        <w:trPr>
          <w:trHeight w:val="255"/>
        </w:trPr>
        <w:tc>
          <w:tcPr>
            <w:tcW w:w="156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A3486A4" w14:textId="77777777" w:rsidR="003C3135" w:rsidRPr="00353EF0" w:rsidRDefault="003C3135" w:rsidP="00E65913">
            <w:pPr>
              <w:pStyle w:val="TableUnit"/>
              <w:jc w:val="left"/>
            </w:pPr>
          </w:p>
        </w:tc>
        <w:tc>
          <w:tcPr>
            <w:tcW w:w="1134"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3C1E011E" w14:textId="77777777" w:rsidR="003C3135" w:rsidRPr="00353EF0" w:rsidRDefault="003C3135" w:rsidP="00E65913">
            <w:pPr>
              <w:pStyle w:val="TableUnit"/>
              <w:rPr>
                <w:i/>
              </w:rPr>
            </w:pPr>
            <w:r w:rsidRPr="00353EF0">
              <w:rPr>
                <w:i/>
              </w:rPr>
              <w: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661DB6EF" w14:textId="77777777" w:rsidR="003C3135" w:rsidRPr="00353EF0" w:rsidRDefault="003C3135" w:rsidP="00E65913">
            <w:pPr>
              <w:pStyle w:val="TableUnit"/>
            </w:pPr>
            <w:r w:rsidRPr="00353EF0">
              <w:t>28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1CFFE344" w14:textId="77777777" w:rsidR="003C3135" w:rsidRPr="00353EF0" w:rsidRDefault="003C3135" w:rsidP="00E65913">
            <w:pPr>
              <w:pStyle w:val="TableUnit"/>
            </w:pPr>
            <w:r w:rsidRPr="00353EF0">
              <w:t>45 per cent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1FBE6585" w14:textId="77777777" w:rsidR="003C3135" w:rsidRPr="00353EF0" w:rsidRDefault="003C3135" w:rsidP="00E65913">
            <w:pPr>
              <w:pStyle w:val="TableUnit"/>
            </w:pPr>
            <w:r w:rsidRPr="00353EF0">
              <w:t>55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66497389" w14:textId="77777777" w:rsidR="003C3135" w:rsidRPr="00353EF0" w:rsidRDefault="003C3135" w:rsidP="00E65913">
            <w:pPr>
              <w:pStyle w:val="TableUnit"/>
            </w:pPr>
            <w:r w:rsidRPr="00353EF0">
              <w:t>65 per cent</w:t>
            </w:r>
          </w:p>
        </w:tc>
      </w:tr>
      <w:tr w:rsidR="003C3135" w:rsidRPr="00353EF0" w14:paraId="7C3FAD03" w14:textId="77777777" w:rsidTr="003C3135">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422E2F7B" w14:textId="5E4E0C08" w:rsidR="003C3135" w:rsidRPr="00353EF0" w:rsidRDefault="003156D6" w:rsidP="00E65913">
            <w:pPr>
              <w:pStyle w:val="TableDataEntries"/>
              <w:jc w:val="left"/>
            </w:pPr>
            <w:r>
              <w:t>Flat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0E05A2E" w14:textId="77777777" w:rsidR="003C3135" w:rsidRPr="00353EF0" w:rsidRDefault="003C3135" w:rsidP="00E65913">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9F037AE" w14:textId="77777777" w:rsidR="003C3135" w:rsidRPr="00353EF0" w:rsidRDefault="003C3135" w:rsidP="00E65913">
            <w:pPr>
              <w:pStyle w:val="TableDataEntries"/>
            </w:pPr>
            <w:r w:rsidRPr="00353EF0">
              <w:t>-0.5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F94E50E" w14:textId="77777777" w:rsidR="003C3135" w:rsidRPr="00353EF0" w:rsidRDefault="003C3135" w:rsidP="00E65913">
            <w:pPr>
              <w:pStyle w:val="TableDataEntries"/>
            </w:pPr>
            <w:r>
              <w:t>-0.4</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E241D09" w14:textId="77777777" w:rsidR="003C3135" w:rsidRPr="00353EF0" w:rsidRDefault="003C3135" w:rsidP="00E65913">
            <w:pPr>
              <w:pStyle w:val="TableDataEntries"/>
            </w:pPr>
            <w: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A7A98AA" w14:textId="77777777" w:rsidR="003C3135" w:rsidRPr="00353EF0" w:rsidRDefault="003C3135" w:rsidP="00E65913">
            <w:pPr>
              <w:pStyle w:val="TableDataEntries"/>
            </w:pPr>
            <w:r>
              <w:t>-0.3</w:t>
            </w:r>
          </w:p>
        </w:tc>
      </w:tr>
      <w:tr w:rsidR="003C3135" w:rsidRPr="00353EF0" w14:paraId="3A0A1BBC" w14:textId="77777777" w:rsidTr="00E65913">
        <w:trPr>
          <w:trHeight w:val="255"/>
        </w:trPr>
        <w:tc>
          <w:tcPr>
            <w:tcW w:w="1560" w:type="dxa"/>
            <w:vMerge/>
            <w:shd w:val="clear" w:color="auto" w:fill="E9E8E5" w:themeFill="background2"/>
            <w:noWrap/>
            <w:tcMar>
              <w:left w:w="57" w:type="dxa"/>
              <w:right w:w="57" w:type="dxa"/>
            </w:tcMar>
            <w:hideMark/>
          </w:tcPr>
          <w:p w14:paraId="31DD4493" w14:textId="77777777" w:rsidR="003C3135" w:rsidRPr="00353EF0" w:rsidRDefault="003C3135" w:rsidP="00E6591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09C983E" w14:textId="77777777" w:rsidR="003C3135" w:rsidRPr="00353EF0" w:rsidRDefault="003C3135" w:rsidP="00E65913">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2893805" w14:textId="77777777" w:rsidR="003C3135" w:rsidRPr="00353EF0" w:rsidRDefault="003C3135" w:rsidP="00E65913">
            <w:pPr>
              <w:pStyle w:val="TableDataEntries"/>
            </w:pPr>
            <w: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5370C2E" w14:textId="77777777" w:rsidR="003C3135" w:rsidRPr="00353EF0" w:rsidRDefault="003C3135" w:rsidP="00E65913">
            <w:pPr>
              <w:pStyle w:val="TableDataEntries"/>
            </w:pPr>
            <w: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BDB1DEB" w14:textId="77777777" w:rsidR="003C3135" w:rsidRPr="00353EF0" w:rsidRDefault="003C3135" w:rsidP="00E65913">
            <w:pPr>
              <w:pStyle w:val="TableDataEntries"/>
            </w:pPr>
            <w: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017BF13" w14:textId="77777777" w:rsidR="003C3135" w:rsidRPr="00353EF0" w:rsidRDefault="003C3135" w:rsidP="00E65913">
            <w:pPr>
              <w:pStyle w:val="TableDataEntries"/>
            </w:pPr>
            <w:r>
              <w:t>-0.3</w:t>
            </w:r>
          </w:p>
        </w:tc>
      </w:tr>
      <w:tr w:rsidR="003C3135" w:rsidRPr="00353EF0" w14:paraId="7B5FA1D6" w14:textId="77777777" w:rsidTr="00E65913">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30D6E15A" w14:textId="77777777" w:rsidR="003C3135" w:rsidRPr="00353EF0" w:rsidRDefault="003C3135" w:rsidP="00E6591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E8FFC4F" w14:textId="77777777" w:rsidR="003C3135" w:rsidRPr="00353EF0" w:rsidRDefault="003C3135" w:rsidP="00E65913">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4CF2889" w14:textId="77777777" w:rsidR="003C3135" w:rsidRPr="00353EF0" w:rsidRDefault="003C3135" w:rsidP="00E65913">
            <w:pPr>
              <w:pStyle w:val="TableDataEntries"/>
            </w:pPr>
            <w: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A52CE57" w14:textId="77777777" w:rsidR="003C3135" w:rsidRPr="00353EF0" w:rsidRDefault="003C3135" w:rsidP="00E65913">
            <w:pPr>
              <w:pStyle w:val="TableDataEntries"/>
            </w:pPr>
            <w: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5C2866C" w14:textId="77777777" w:rsidR="003C3135" w:rsidRPr="00353EF0" w:rsidRDefault="003C3135" w:rsidP="00E65913">
            <w:pPr>
              <w:pStyle w:val="TableDataEntries"/>
            </w:pPr>
            <w:r>
              <w:t>-0.2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2AB9428" w14:textId="77777777" w:rsidR="003C3135" w:rsidRPr="00353EF0" w:rsidRDefault="003C3135" w:rsidP="00E65913">
            <w:pPr>
              <w:pStyle w:val="TableDataEntries"/>
            </w:pPr>
            <w:r>
              <w:t>-0.2</w:t>
            </w:r>
          </w:p>
        </w:tc>
      </w:tr>
      <w:tr w:rsidR="003C3135" w:rsidRPr="00353EF0" w14:paraId="531EAB44" w14:textId="77777777" w:rsidTr="00E65913">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1053F854" w14:textId="75985F37" w:rsidR="003C3135" w:rsidRPr="00353EF0" w:rsidRDefault="003156D6" w:rsidP="003C3135">
            <w:pPr>
              <w:pStyle w:val="TableDataEntries"/>
              <w:jc w:val="left"/>
            </w:pPr>
            <w:r>
              <w:t>Steep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06A77A6" w14:textId="57F655B5" w:rsidR="003C3135" w:rsidRPr="00353EF0" w:rsidRDefault="003C3135" w:rsidP="003C3135">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F7CD993" w14:textId="40ABE0AD" w:rsidR="003C3135" w:rsidRPr="00353EF0" w:rsidRDefault="003C3135" w:rsidP="003C3135">
            <w:pPr>
              <w:pStyle w:val="TableDataEntries"/>
            </w:pPr>
            <w:r>
              <w:t>-3.6</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3B38DB5" w14:textId="02170097" w:rsidR="003C3135" w:rsidRPr="00353EF0" w:rsidRDefault="003C3135" w:rsidP="003C3135">
            <w:pPr>
              <w:pStyle w:val="TableDataEntries"/>
            </w:pPr>
            <w:r>
              <w:t>-3.1</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A502BA9" w14:textId="56A69955" w:rsidR="003C3135" w:rsidRPr="00353EF0" w:rsidRDefault="003C3135" w:rsidP="003C3135">
            <w:pPr>
              <w:pStyle w:val="TableDataEntries"/>
            </w:pPr>
            <w:r>
              <w:t>-2.7</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0A7DEE4" w14:textId="7229D918" w:rsidR="003C3135" w:rsidRPr="00353EF0" w:rsidRDefault="003C3135" w:rsidP="003C3135">
            <w:pPr>
              <w:pStyle w:val="TableDataEntries"/>
            </w:pPr>
            <w:r>
              <w:t>-2.4</w:t>
            </w:r>
          </w:p>
        </w:tc>
      </w:tr>
      <w:tr w:rsidR="003C3135" w:rsidRPr="00353EF0" w14:paraId="331C59D2" w14:textId="77777777" w:rsidTr="00E65913">
        <w:trPr>
          <w:trHeight w:val="255"/>
        </w:trPr>
        <w:tc>
          <w:tcPr>
            <w:tcW w:w="1560" w:type="dxa"/>
            <w:vMerge/>
            <w:shd w:val="clear" w:color="auto" w:fill="E9E8E5" w:themeFill="background2"/>
            <w:noWrap/>
            <w:tcMar>
              <w:left w:w="57" w:type="dxa"/>
              <w:right w:w="57" w:type="dxa"/>
            </w:tcMar>
            <w:hideMark/>
          </w:tcPr>
          <w:p w14:paraId="5A9D32C2" w14:textId="77777777" w:rsidR="003C3135" w:rsidRPr="00353EF0" w:rsidRDefault="003C3135" w:rsidP="003C3135">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BB11B42" w14:textId="546D98C6" w:rsidR="003C3135" w:rsidRPr="00353EF0" w:rsidRDefault="003C3135" w:rsidP="003C3135">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46FAA90" w14:textId="68ACB18D" w:rsidR="003C3135" w:rsidRPr="00353EF0" w:rsidRDefault="003C3135" w:rsidP="003C3135">
            <w:pPr>
              <w:pStyle w:val="TableDataEntries"/>
            </w:pPr>
            <w:r>
              <w:t>-2.9</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AEF2C42" w14:textId="4020F1A6" w:rsidR="003C3135" w:rsidRPr="00353EF0" w:rsidRDefault="003C3135" w:rsidP="003C3135">
            <w:pPr>
              <w:pStyle w:val="TableDataEntries"/>
            </w:pPr>
            <w:r>
              <w:t>-2.5</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481A092" w14:textId="0944A99D" w:rsidR="003C3135" w:rsidRPr="00353EF0" w:rsidRDefault="003C3135" w:rsidP="003C3135">
            <w:pPr>
              <w:pStyle w:val="TableDataEntries"/>
            </w:pPr>
            <w:r>
              <w:t>-2.3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BF9A42D" w14:textId="657C62CE" w:rsidR="003C3135" w:rsidRPr="00353EF0" w:rsidRDefault="003C3135" w:rsidP="003C3135">
            <w:pPr>
              <w:pStyle w:val="TableDataEntries"/>
            </w:pPr>
            <w:r>
              <w:t>-2.1</w:t>
            </w:r>
          </w:p>
        </w:tc>
      </w:tr>
      <w:tr w:rsidR="003C3135" w:rsidRPr="00353EF0" w14:paraId="7D4244C8" w14:textId="77777777" w:rsidTr="00E65913">
        <w:trPr>
          <w:trHeight w:val="255"/>
        </w:trPr>
        <w:tc>
          <w:tcPr>
            <w:tcW w:w="1560" w:type="dxa"/>
            <w:vMerge/>
            <w:tcBorders>
              <w:bottom w:val="single" w:sz="4" w:space="0" w:color="auto"/>
            </w:tcBorders>
            <w:shd w:val="clear" w:color="auto" w:fill="E9E8E5" w:themeFill="background2"/>
            <w:noWrap/>
            <w:tcMar>
              <w:left w:w="57" w:type="dxa"/>
              <w:right w:w="57" w:type="dxa"/>
            </w:tcMar>
            <w:hideMark/>
          </w:tcPr>
          <w:p w14:paraId="61AE9059" w14:textId="77777777" w:rsidR="003C3135" w:rsidRPr="00353EF0" w:rsidRDefault="003C3135" w:rsidP="003C3135">
            <w:pPr>
              <w:pStyle w:val="TableDataEntries"/>
              <w:jc w:val="left"/>
            </w:pPr>
          </w:p>
        </w:tc>
        <w:tc>
          <w:tcPr>
            <w:tcW w:w="1134"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00E495FB" w14:textId="1AB44D7E" w:rsidR="003C3135" w:rsidRPr="00353EF0" w:rsidRDefault="003C3135" w:rsidP="003C3135">
            <w:pPr>
              <w:pStyle w:val="TableDataEntries"/>
              <w:rPr>
                <w:i/>
              </w:rPr>
            </w:pPr>
            <w:r>
              <w:rPr>
                <w:i/>
              </w:rPr>
              <w:t>7.0 per cent</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5C5A6405" w14:textId="30305B3B" w:rsidR="003C3135" w:rsidRPr="00353EF0" w:rsidRDefault="003C3135" w:rsidP="003C3135">
            <w:pPr>
              <w:pStyle w:val="TableDataEntries"/>
            </w:pPr>
            <w:r>
              <w:t>-2.2</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12BC099C" w14:textId="14997AD1" w:rsidR="003C3135" w:rsidRPr="00353EF0" w:rsidRDefault="003C3135" w:rsidP="003C3135">
            <w:pPr>
              <w:pStyle w:val="TableDataEntries"/>
            </w:pPr>
            <w:r>
              <w:t>-1.9</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52C952EE" w14:textId="061FC870" w:rsidR="003C3135" w:rsidRPr="00353EF0" w:rsidRDefault="003C3135" w:rsidP="003C3135">
            <w:pPr>
              <w:pStyle w:val="TableDataEntries"/>
            </w:pPr>
            <w:r>
              <w:t>-1.8</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107F4337" w14:textId="50D9076F" w:rsidR="003C3135" w:rsidRPr="00353EF0" w:rsidRDefault="003C3135" w:rsidP="003C3135">
            <w:pPr>
              <w:pStyle w:val="TableDataEntries"/>
            </w:pPr>
            <w:r>
              <w:t>-1.8</w:t>
            </w:r>
          </w:p>
        </w:tc>
      </w:tr>
    </w:tbl>
    <w:p w14:paraId="1344E27B" w14:textId="73E594E5" w:rsidR="00B97223" w:rsidRPr="003C3135" w:rsidRDefault="00B97223" w:rsidP="00B97223">
      <w:pPr>
        <w:pStyle w:val="TableDataEntries"/>
        <w:jc w:val="left"/>
        <w:rPr>
          <w:i/>
        </w:rPr>
      </w:pPr>
      <w:r>
        <w:rPr>
          <w:i/>
        </w:rPr>
        <w:t xml:space="preserve">Note: </w:t>
      </w:r>
      <w:r w:rsidRPr="003C3135">
        <w:rPr>
          <w:i/>
        </w:rPr>
        <w:t xml:space="preserve">Reduction in emissions implied by scenarios is measured relative to </w:t>
      </w:r>
      <w:r w:rsidR="00F4728C">
        <w:rPr>
          <w:i/>
        </w:rPr>
        <w:t>the core baseline</w:t>
      </w:r>
      <w:r w:rsidRPr="003C3135">
        <w:rPr>
          <w:i/>
        </w:rPr>
        <w:t xml:space="preserve"> (i.e. these results are the same as those presented in Table</w:t>
      </w:r>
      <w:r w:rsidR="003156D6">
        <w:rPr>
          <w:i/>
        </w:rPr>
        <w:t xml:space="preserve"> </w:t>
      </w:r>
      <w:r w:rsidRPr="003C3135">
        <w:rPr>
          <w:i/>
        </w:rPr>
        <w:fldChar w:fldCharType="begin"/>
      </w:r>
      <w:r w:rsidRPr="003C3135">
        <w:rPr>
          <w:i/>
        </w:rPr>
        <w:instrText xml:space="preserve"> REF _Caption4053 </w:instrText>
      </w:r>
      <w:r>
        <w:rPr>
          <w:i/>
        </w:rPr>
        <w:instrText xml:space="preserve"> \* MERGEFORMAT </w:instrText>
      </w:r>
      <w:r w:rsidRPr="003C3135">
        <w:rPr>
          <w:i/>
        </w:rPr>
        <w:fldChar w:fldCharType="separate"/>
      </w:r>
      <w:r w:rsidR="00ED1D13" w:rsidRPr="00ED1D13">
        <w:rPr>
          <w:i/>
          <w:noProof/>
        </w:rPr>
        <w:t>1</w:t>
      </w:r>
      <w:r w:rsidRPr="003C3135">
        <w:rPr>
          <w:i/>
        </w:rPr>
        <w:fldChar w:fldCharType="end"/>
      </w:r>
      <w:r w:rsidRPr="003C3135">
        <w:rPr>
          <w:i/>
        </w:rPr>
        <w:t xml:space="preserve"> and Table </w:t>
      </w:r>
      <w:r w:rsidRPr="003C3135">
        <w:rPr>
          <w:i/>
        </w:rPr>
        <w:fldChar w:fldCharType="begin"/>
      </w:r>
      <w:r w:rsidRPr="003C3135">
        <w:rPr>
          <w:i/>
        </w:rPr>
        <w:instrText xml:space="preserve"> REF _Caption2490 </w:instrText>
      </w:r>
      <w:r>
        <w:rPr>
          <w:i/>
        </w:rPr>
        <w:instrText xml:space="preserve"> \* MERGEFORMAT </w:instrText>
      </w:r>
      <w:r w:rsidRPr="003C3135">
        <w:rPr>
          <w:i/>
        </w:rPr>
        <w:fldChar w:fldCharType="separate"/>
      </w:r>
      <w:r w:rsidR="00ED1D13" w:rsidRPr="00ED1D13">
        <w:rPr>
          <w:i/>
          <w:noProof/>
        </w:rPr>
        <w:t>3.7</w:t>
      </w:r>
      <w:r w:rsidRPr="003C3135">
        <w:rPr>
          <w:i/>
        </w:rPr>
        <w:fldChar w:fldCharType="end"/>
      </w:r>
    </w:p>
    <w:p w14:paraId="46FD8CE4" w14:textId="59FB1015" w:rsidR="00B97223" w:rsidRPr="00B97223" w:rsidRDefault="003C3135" w:rsidP="00444D2D">
      <w:pPr>
        <w:pStyle w:val="Source"/>
      </w:pPr>
      <w:r>
        <w:rPr>
          <w:i/>
        </w:rPr>
        <w:t>Source</w:t>
      </w:r>
      <w:r w:rsidRPr="00E4232C">
        <w:rPr>
          <w:i/>
        </w:rPr>
        <w:t>:</w:t>
      </w:r>
      <w:r>
        <w:t xml:space="preserve"> The CIE</w:t>
      </w:r>
    </w:p>
    <w:p w14:paraId="0CC48542" w14:textId="71324557" w:rsidR="00B97223" w:rsidRDefault="00B97223" w:rsidP="00B97223">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w:instrText>
      </w:r>
      <w:r w:rsidRPr="00695C93">
        <w:fldChar w:fldCharType="separate"/>
      </w:r>
      <w:r>
        <w:rPr>
          <w:noProof/>
        </w:rPr>
        <w:instrText>3</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"1" </w:instrText>
      </w:r>
      <w:r w:rsidRPr="00695C93">
        <w:fldChar w:fldCharType="separate"/>
      </w:r>
      <w:r w:rsidR="00E77CED"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3</w:instrText>
      </w:r>
      <w:r w:rsidRPr="00695C93">
        <w:fldChar w:fldCharType="end"/>
      </w:r>
      <w:r w:rsidRPr="00695C93">
        <w:instrText xml:space="preserve">" "" </w:instrText>
      </w:r>
      <w:r w:rsidRPr="00695C93">
        <w:fldChar w:fldCharType="separate"/>
      </w:r>
      <w:bookmarkStart w:id="447" w:name="_Caption2766"/>
      <w:bookmarkStart w:id="448" w:name="_Caption7086"/>
      <w:bookmarkStart w:id="449" w:name="_Caption1347"/>
      <w:bookmarkStart w:id="450" w:name="_Caption5621"/>
      <w:bookmarkStart w:id="451" w:name="_Caption1396"/>
      <w:bookmarkStart w:id="452" w:name="_Caption1494"/>
      <w:bookmarkStart w:id="453" w:name="_Caption8179"/>
      <w:bookmarkStart w:id="454" w:name="_Toc9778488"/>
      <w:r w:rsidR="008A2B2B">
        <w:rPr>
          <w:noProof/>
        </w:rPr>
        <w:t>B</w:t>
      </w:r>
      <w:r w:rsidR="008A2B2B" w:rsidRPr="00695C93">
        <w:rPr>
          <w:noProof/>
        </w:rPr>
        <w:t>.</w:t>
      </w:r>
      <w:r w:rsidR="008A2B2B">
        <w:rPr>
          <w:noProof/>
        </w:rPr>
        <w:t>3</w:t>
      </w:r>
      <w:bookmarkEnd w:id="447"/>
      <w:bookmarkEnd w:id="448"/>
      <w:bookmarkEnd w:id="449"/>
      <w:bookmarkEnd w:id="450"/>
      <w:bookmarkEnd w:id="451"/>
      <w:bookmarkEnd w:id="452"/>
      <w:bookmarkEnd w:id="453"/>
      <w:r w:rsidRPr="00695C93">
        <w:fldChar w:fldCharType="end"/>
      </w:r>
      <w:r w:rsidRPr="00695C93">
        <w:tab/>
      </w:r>
      <w:r>
        <w:t>Discounted loss of GSI due to emissions reduction between 2020 and 2050 (share of baseline GSI 2020-2050), by scenario relative low sensitivity baseline</w:t>
      </w:r>
      <w:bookmarkEnd w:id="454"/>
    </w:p>
    <w:tbl>
      <w:tblPr>
        <w:tblW w:w="8052" w:type="dxa"/>
        <w:tblLayout w:type="fixed"/>
        <w:tblLook w:val="04A0" w:firstRow="1" w:lastRow="0" w:firstColumn="1" w:lastColumn="0" w:noHBand="0" w:noVBand="1"/>
      </w:tblPr>
      <w:tblGrid>
        <w:gridCol w:w="1560"/>
        <w:gridCol w:w="1134"/>
        <w:gridCol w:w="1339"/>
        <w:gridCol w:w="1340"/>
        <w:gridCol w:w="1339"/>
        <w:gridCol w:w="1340"/>
      </w:tblGrid>
      <w:tr w:rsidR="00B97223" w:rsidRPr="00353EF0" w14:paraId="416D8310" w14:textId="77777777" w:rsidTr="00E65913">
        <w:trPr>
          <w:trHeight w:val="255"/>
        </w:trPr>
        <w:tc>
          <w:tcPr>
            <w:tcW w:w="1560" w:type="dxa"/>
            <w:tcBorders>
              <w:bottom w:val="single" w:sz="8" w:space="0" w:color="FFFFFF" w:themeColor="background1"/>
            </w:tcBorders>
            <w:shd w:val="clear" w:color="auto" w:fill="6F6652"/>
            <w:noWrap/>
            <w:tcMar>
              <w:left w:w="57" w:type="dxa"/>
              <w:right w:w="57" w:type="dxa"/>
            </w:tcMar>
            <w:hideMark/>
          </w:tcPr>
          <w:p w14:paraId="6A38F33D" w14:textId="77777777" w:rsidR="00B97223" w:rsidRPr="00353EF0" w:rsidRDefault="00B97223" w:rsidP="00E65913">
            <w:pPr>
              <w:pStyle w:val="TableDataColumnHeading"/>
              <w:jc w:val="left"/>
            </w:pPr>
            <w:r>
              <w:t>Cost curve</w:t>
            </w:r>
          </w:p>
        </w:tc>
        <w:tc>
          <w:tcPr>
            <w:tcW w:w="1134" w:type="dxa"/>
            <w:tcBorders>
              <w:bottom w:val="single" w:sz="8" w:space="0" w:color="FFFFFF" w:themeColor="background1"/>
            </w:tcBorders>
            <w:shd w:val="clear" w:color="auto" w:fill="6F6652"/>
            <w:noWrap/>
            <w:tcMar>
              <w:left w:w="57" w:type="dxa"/>
              <w:right w:w="57" w:type="dxa"/>
            </w:tcMar>
            <w:hideMark/>
          </w:tcPr>
          <w:p w14:paraId="25D86931" w14:textId="77777777" w:rsidR="00B97223" w:rsidRPr="00353EF0" w:rsidRDefault="00B97223" w:rsidP="00E65913">
            <w:pPr>
              <w:pStyle w:val="TableDataColumnHeading"/>
              <w:rPr>
                <w:rFonts w:ascii="Franklin Gothic Book" w:hAnsi="Franklin Gothic Book"/>
                <w:i/>
                <w:sz w:val="18"/>
              </w:rPr>
            </w:pPr>
            <w:r w:rsidRPr="00353EF0">
              <w:rPr>
                <w:i/>
              </w:rPr>
              <w:t>Discount rate</w:t>
            </w:r>
          </w:p>
        </w:tc>
        <w:tc>
          <w:tcPr>
            <w:tcW w:w="5358" w:type="dxa"/>
            <w:gridSpan w:val="4"/>
            <w:tcBorders>
              <w:bottom w:val="single" w:sz="8" w:space="0" w:color="FFFFFF" w:themeColor="background1"/>
            </w:tcBorders>
            <w:shd w:val="clear" w:color="auto" w:fill="6F6652"/>
            <w:noWrap/>
            <w:tcMar>
              <w:left w:w="57" w:type="dxa"/>
              <w:right w:w="57" w:type="dxa"/>
            </w:tcMar>
            <w:hideMark/>
          </w:tcPr>
          <w:p w14:paraId="7A484434" w14:textId="77777777" w:rsidR="00B97223" w:rsidRPr="00353EF0" w:rsidRDefault="00B97223" w:rsidP="00E65913">
            <w:pPr>
              <w:pStyle w:val="TableDataColumnHeading"/>
              <w:jc w:val="left"/>
              <w:rPr>
                <w:rFonts w:ascii="Franklin Gothic Book" w:hAnsi="Franklin Gothic Book"/>
                <w:sz w:val="18"/>
              </w:rPr>
            </w:pPr>
            <w:r>
              <w:t xml:space="preserve">Scenario: level of emissions in 2030 (reduction relative to 2005) </w:t>
            </w:r>
          </w:p>
        </w:tc>
      </w:tr>
      <w:tr w:rsidR="00B97223" w:rsidRPr="00353EF0" w14:paraId="7062CF4C" w14:textId="77777777" w:rsidTr="00E65913">
        <w:trPr>
          <w:trHeight w:val="255"/>
        </w:trPr>
        <w:tc>
          <w:tcPr>
            <w:tcW w:w="156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149E68A" w14:textId="77777777" w:rsidR="00B97223" w:rsidRPr="00353EF0" w:rsidRDefault="00B97223" w:rsidP="00E65913">
            <w:pPr>
              <w:pStyle w:val="TableUnit"/>
              <w:jc w:val="left"/>
            </w:pPr>
          </w:p>
        </w:tc>
        <w:tc>
          <w:tcPr>
            <w:tcW w:w="1134"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B1DFAED" w14:textId="77777777" w:rsidR="00B97223" w:rsidRPr="00353EF0" w:rsidRDefault="00B97223" w:rsidP="00E65913">
            <w:pPr>
              <w:pStyle w:val="TableUnit"/>
              <w:rPr>
                <w:i/>
              </w:rPr>
            </w:pPr>
            <w:r w:rsidRPr="00353EF0">
              <w:rPr>
                <w:i/>
              </w:rPr>
              <w: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383011D1" w14:textId="77777777" w:rsidR="00B97223" w:rsidRPr="00353EF0" w:rsidRDefault="00B97223" w:rsidP="00E65913">
            <w:pPr>
              <w:pStyle w:val="TableUnit"/>
            </w:pPr>
            <w:r w:rsidRPr="00353EF0">
              <w:t>28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7284FDA" w14:textId="77777777" w:rsidR="00B97223" w:rsidRPr="00353EF0" w:rsidRDefault="00B97223" w:rsidP="00E65913">
            <w:pPr>
              <w:pStyle w:val="TableUnit"/>
            </w:pPr>
            <w:r w:rsidRPr="00353EF0">
              <w:t>45 per cent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508C1844" w14:textId="77777777" w:rsidR="00B97223" w:rsidRPr="00353EF0" w:rsidRDefault="00B97223" w:rsidP="00E65913">
            <w:pPr>
              <w:pStyle w:val="TableUnit"/>
            </w:pPr>
            <w:r w:rsidRPr="00353EF0">
              <w:t>55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98BB9C7" w14:textId="77777777" w:rsidR="00B97223" w:rsidRPr="00353EF0" w:rsidRDefault="00B97223" w:rsidP="00E65913">
            <w:pPr>
              <w:pStyle w:val="TableUnit"/>
            </w:pPr>
            <w:r w:rsidRPr="00353EF0">
              <w:t>65 per cent</w:t>
            </w:r>
          </w:p>
        </w:tc>
      </w:tr>
      <w:tr w:rsidR="00B97223" w:rsidRPr="00353EF0" w14:paraId="4FF35F7F" w14:textId="77777777" w:rsidTr="00E65913">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19B785CE" w14:textId="2ED9D072" w:rsidR="00B97223" w:rsidRPr="00353EF0" w:rsidRDefault="003156D6" w:rsidP="00B97223">
            <w:pPr>
              <w:pStyle w:val="TableDataEntries"/>
              <w:jc w:val="left"/>
            </w:pPr>
            <w:r>
              <w:t>Flat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094F898" w14:textId="77777777" w:rsidR="00B97223" w:rsidRPr="00353EF0" w:rsidRDefault="00B97223" w:rsidP="00B97223">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E11A101" w14:textId="4DEA26D5" w:rsidR="00B97223" w:rsidRPr="00353EF0" w:rsidRDefault="00B97223" w:rsidP="00B97223">
            <w:pPr>
              <w:pStyle w:val="TableDataEntries"/>
            </w:pPr>
            <w:r>
              <w:rPr>
                <w:sz w:val="18"/>
              </w:rPr>
              <w:t>-0.5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655A8FA2" w14:textId="06378917" w:rsidR="00B97223" w:rsidRPr="00353EF0" w:rsidRDefault="00B97223" w:rsidP="00B97223">
            <w:pPr>
              <w:pStyle w:val="TableDataEntries"/>
            </w:pPr>
            <w:r>
              <w:rPr>
                <w:sz w:val="18"/>
              </w:rPr>
              <w:t>-0.4</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E4525BF" w14:textId="3FC4DCE2" w:rsidR="00B97223" w:rsidRPr="00353EF0" w:rsidRDefault="00B97223" w:rsidP="00B97223">
            <w:pPr>
              <w:pStyle w:val="TableDataEntries"/>
            </w:pPr>
            <w:r>
              <w:rPr>
                <w:sz w:val="18"/>
              </w:rP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DC5FFCF" w14:textId="741D3088" w:rsidR="00B97223" w:rsidRPr="00353EF0" w:rsidRDefault="00B97223" w:rsidP="00B97223">
            <w:pPr>
              <w:pStyle w:val="TableDataEntries"/>
            </w:pPr>
            <w:r>
              <w:rPr>
                <w:sz w:val="18"/>
              </w:rPr>
              <w:t>-0.2</w:t>
            </w:r>
          </w:p>
        </w:tc>
      </w:tr>
      <w:tr w:rsidR="00B97223" w:rsidRPr="00353EF0" w14:paraId="01D088AE" w14:textId="77777777" w:rsidTr="00E65913">
        <w:trPr>
          <w:trHeight w:val="255"/>
        </w:trPr>
        <w:tc>
          <w:tcPr>
            <w:tcW w:w="1560" w:type="dxa"/>
            <w:vMerge/>
            <w:shd w:val="clear" w:color="auto" w:fill="E9E8E5" w:themeFill="background2"/>
            <w:noWrap/>
            <w:tcMar>
              <w:left w:w="57" w:type="dxa"/>
              <w:right w:w="57" w:type="dxa"/>
            </w:tcMar>
            <w:hideMark/>
          </w:tcPr>
          <w:p w14:paraId="46A366EC"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5B05922" w14:textId="77777777" w:rsidR="00B97223" w:rsidRPr="00353EF0" w:rsidRDefault="00B97223" w:rsidP="00B97223">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9582852" w14:textId="511D8DF7" w:rsidR="00B97223" w:rsidRPr="00353EF0" w:rsidRDefault="00B97223" w:rsidP="00B97223">
            <w:pPr>
              <w:pStyle w:val="TableDataEntries"/>
            </w:pPr>
            <w:r>
              <w:rPr>
                <w:sz w:val="18"/>
              </w:rP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260FA9C2" w14:textId="0FC5064B" w:rsidR="00B97223" w:rsidRPr="00353EF0" w:rsidRDefault="00B97223" w:rsidP="00B97223">
            <w:pPr>
              <w:pStyle w:val="TableDataEntries"/>
            </w:pPr>
            <w:r>
              <w:rPr>
                <w:sz w:val="18"/>
              </w:rP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1F03465" w14:textId="66E762CD" w:rsidR="00B97223" w:rsidRPr="00353EF0" w:rsidRDefault="00B97223" w:rsidP="00B97223">
            <w:pPr>
              <w:pStyle w:val="TableDataEntries"/>
            </w:pPr>
            <w:r>
              <w:rPr>
                <w:sz w:val="18"/>
              </w:rPr>
              <w:t>-0.2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716D405" w14:textId="6BB3887F" w:rsidR="00B97223" w:rsidRPr="00353EF0" w:rsidRDefault="00B97223" w:rsidP="00B97223">
            <w:pPr>
              <w:pStyle w:val="TableDataEntries"/>
            </w:pPr>
            <w:r>
              <w:rPr>
                <w:sz w:val="18"/>
              </w:rPr>
              <w:t>-0.2</w:t>
            </w:r>
          </w:p>
        </w:tc>
      </w:tr>
      <w:tr w:rsidR="00B97223" w:rsidRPr="00353EF0" w14:paraId="767117FF" w14:textId="77777777" w:rsidTr="00E65913">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38182BEA"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2598C66" w14:textId="77777777" w:rsidR="00B97223" w:rsidRPr="00353EF0" w:rsidRDefault="00B97223" w:rsidP="00B97223">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06BEE1D" w14:textId="48E6BA93" w:rsidR="00B97223" w:rsidRPr="00353EF0" w:rsidRDefault="00B97223" w:rsidP="00B97223">
            <w:pPr>
              <w:pStyle w:val="TableDataEntries"/>
            </w:pPr>
            <w:r>
              <w:rPr>
                <w:sz w:val="18"/>
              </w:rP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79A85D6" w14:textId="03ABA5BC" w:rsidR="00B97223" w:rsidRPr="00353EF0" w:rsidRDefault="00B97223" w:rsidP="00B97223">
            <w:pPr>
              <w:pStyle w:val="TableDataEntries"/>
            </w:pPr>
            <w:r>
              <w:rPr>
                <w:sz w:val="18"/>
              </w:rPr>
              <w:t>-0.2</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E0D182B" w14:textId="1151F25C" w:rsidR="00B97223" w:rsidRPr="00353EF0" w:rsidRDefault="00B97223" w:rsidP="00B97223">
            <w:pPr>
              <w:pStyle w:val="TableDataEntries"/>
            </w:pPr>
            <w:r>
              <w:rPr>
                <w:sz w:val="18"/>
              </w:rPr>
              <w:t>-0.2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7764F0A6" w14:textId="2DBB1B09" w:rsidR="00B97223" w:rsidRPr="00353EF0" w:rsidRDefault="00B97223" w:rsidP="00B97223">
            <w:pPr>
              <w:pStyle w:val="TableDataEntries"/>
            </w:pPr>
            <w:r>
              <w:rPr>
                <w:sz w:val="18"/>
              </w:rPr>
              <w:t>-0.2</w:t>
            </w:r>
          </w:p>
        </w:tc>
      </w:tr>
      <w:tr w:rsidR="00B97223" w:rsidRPr="00353EF0" w14:paraId="248A0CD0" w14:textId="77777777" w:rsidTr="00E65913">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6BB2900A" w14:textId="45424F87" w:rsidR="00B97223" w:rsidRPr="00353EF0" w:rsidRDefault="003156D6" w:rsidP="00B97223">
            <w:pPr>
              <w:pStyle w:val="TableDataEntries"/>
              <w:jc w:val="left"/>
            </w:pPr>
            <w:r>
              <w:t>Steep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C4CB9F5" w14:textId="77777777" w:rsidR="00B97223" w:rsidRPr="00353EF0" w:rsidRDefault="00B97223" w:rsidP="00B97223">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6686BC40" w14:textId="7DA8E576" w:rsidR="00B97223" w:rsidRPr="00353EF0" w:rsidRDefault="00B97223" w:rsidP="00B97223">
            <w:pPr>
              <w:pStyle w:val="TableDataEntries"/>
            </w:pPr>
            <w:r>
              <w:rPr>
                <w:sz w:val="18"/>
              </w:rPr>
              <w:t>-3.4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9F0D1B1" w14:textId="0CCB1D6D" w:rsidR="00B97223" w:rsidRPr="00353EF0" w:rsidRDefault="00B97223" w:rsidP="00B97223">
            <w:pPr>
              <w:pStyle w:val="TableDataEntries"/>
            </w:pPr>
            <w:r>
              <w:rPr>
                <w:sz w:val="18"/>
              </w:rPr>
              <w:t>-2.7</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06A96977" w14:textId="3951B585" w:rsidR="00B97223" w:rsidRPr="00353EF0" w:rsidRDefault="00B97223" w:rsidP="00B97223">
            <w:pPr>
              <w:pStyle w:val="TableDataEntries"/>
            </w:pPr>
            <w:r>
              <w:rPr>
                <w:sz w:val="18"/>
              </w:rPr>
              <w:t>-2.3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2C3FBEDE" w14:textId="3BF6701D" w:rsidR="00B97223" w:rsidRPr="00353EF0" w:rsidRDefault="00B97223" w:rsidP="00B97223">
            <w:pPr>
              <w:pStyle w:val="TableDataEntries"/>
            </w:pPr>
            <w:r>
              <w:rPr>
                <w:sz w:val="18"/>
              </w:rPr>
              <w:t>-1.9</w:t>
            </w:r>
          </w:p>
        </w:tc>
      </w:tr>
      <w:tr w:rsidR="00B97223" w:rsidRPr="00353EF0" w14:paraId="16AE4AF6" w14:textId="77777777" w:rsidTr="00E65913">
        <w:trPr>
          <w:trHeight w:val="255"/>
        </w:trPr>
        <w:tc>
          <w:tcPr>
            <w:tcW w:w="1560" w:type="dxa"/>
            <w:vMerge/>
            <w:shd w:val="clear" w:color="auto" w:fill="E9E8E5" w:themeFill="background2"/>
            <w:noWrap/>
            <w:tcMar>
              <w:left w:w="57" w:type="dxa"/>
              <w:right w:w="57" w:type="dxa"/>
            </w:tcMar>
            <w:hideMark/>
          </w:tcPr>
          <w:p w14:paraId="5F1A49F3"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E93C692" w14:textId="77777777" w:rsidR="00B97223" w:rsidRPr="00353EF0" w:rsidRDefault="00B97223" w:rsidP="00B97223">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63599F7" w14:textId="19C1E4D2" w:rsidR="00B97223" w:rsidRPr="00353EF0" w:rsidRDefault="00B97223" w:rsidP="00B97223">
            <w:pPr>
              <w:pStyle w:val="TableDataEntries"/>
            </w:pPr>
            <w:r>
              <w:rPr>
                <w:sz w:val="18"/>
              </w:rPr>
              <w:t>-2.7</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61608B25" w14:textId="0D04B774" w:rsidR="00B97223" w:rsidRPr="00353EF0" w:rsidRDefault="00B97223" w:rsidP="00B97223">
            <w:pPr>
              <w:pStyle w:val="TableDataEntries"/>
            </w:pPr>
            <w:r>
              <w:rPr>
                <w:sz w:val="18"/>
              </w:rPr>
              <w:t>-2.1</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FC6F24B" w14:textId="27685F14" w:rsidR="00B97223" w:rsidRPr="00353EF0" w:rsidRDefault="00B97223" w:rsidP="00B97223">
            <w:pPr>
              <w:pStyle w:val="TableDataEntries"/>
            </w:pPr>
            <w:r>
              <w:rPr>
                <w:sz w:val="18"/>
              </w:rPr>
              <w:t>-1.8</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E49F7A6" w14:textId="0278B5CB" w:rsidR="00B97223" w:rsidRPr="00353EF0" w:rsidRDefault="00B97223" w:rsidP="00B97223">
            <w:pPr>
              <w:pStyle w:val="TableDataEntries"/>
            </w:pPr>
            <w:r>
              <w:rPr>
                <w:sz w:val="18"/>
              </w:rPr>
              <w:t>-1.6</w:t>
            </w:r>
          </w:p>
        </w:tc>
      </w:tr>
      <w:tr w:rsidR="00B97223" w:rsidRPr="00353EF0" w14:paraId="786FC89A" w14:textId="77777777" w:rsidTr="00E65913">
        <w:trPr>
          <w:trHeight w:val="255"/>
        </w:trPr>
        <w:tc>
          <w:tcPr>
            <w:tcW w:w="1560" w:type="dxa"/>
            <w:vMerge/>
            <w:tcBorders>
              <w:bottom w:val="single" w:sz="4" w:space="0" w:color="auto"/>
            </w:tcBorders>
            <w:shd w:val="clear" w:color="auto" w:fill="E9E8E5" w:themeFill="background2"/>
            <w:noWrap/>
            <w:tcMar>
              <w:left w:w="57" w:type="dxa"/>
              <w:right w:w="57" w:type="dxa"/>
            </w:tcMar>
            <w:hideMark/>
          </w:tcPr>
          <w:p w14:paraId="377E86ED" w14:textId="77777777" w:rsidR="00B97223" w:rsidRPr="00353EF0" w:rsidRDefault="00B97223" w:rsidP="00B97223">
            <w:pPr>
              <w:pStyle w:val="TableDataEntries"/>
              <w:jc w:val="left"/>
            </w:pPr>
          </w:p>
        </w:tc>
        <w:tc>
          <w:tcPr>
            <w:tcW w:w="1134"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0C0AF77C" w14:textId="77777777" w:rsidR="00B97223" w:rsidRPr="00353EF0" w:rsidRDefault="00B97223" w:rsidP="00B97223">
            <w:pPr>
              <w:pStyle w:val="TableDataEntries"/>
              <w:rPr>
                <w:i/>
              </w:rPr>
            </w:pPr>
            <w:r>
              <w:rPr>
                <w:i/>
              </w:rPr>
              <w:t>7.0 per cent</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1BC50B2B" w14:textId="559E4BF6" w:rsidR="00B97223" w:rsidRPr="00353EF0" w:rsidRDefault="00B97223" w:rsidP="00B97223">
            <w:pPr>
              <w:pStyle w:val="TableDataEntries"/>
            </w:pPr>
            <w:r>
              <w:rPr>
                <w:sz w:val="18"/>
              </w:rPr>
              <w:t>-2.0</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714A3028" w14:textId="60AD0DA8" w:rsidR="00B97223" w:rsidRPr="00353EF0" w:rsidRDefault="00B97223" w:rsidP="00B97223">
            <w:pPr>
              <w:pStyle w:val="TableDataEntries"/>
            </w:pPr>
            <w:r>
              <w:rPr>
                <w:sz w:val="18"/>
              </w:rPr>
              <w:t>-1.6</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46266FEF" w14:textId="2FC18E27" w:rsidR="00B97223" w:rsidRPr="00353EF0" w:rsidRDefault="00B97223" w:rsidP="00B97223">
            <w:pPr>
              <w:pStyle w:val="TableDataEntries"/>
            </w:pPr>
            <w:r>
              <w:rPr>
                <w:sz w:val="18"/>
              </w:rPr>
              <w:t>-1.4</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4BA0F1F9" w14:textId="3AEBBAE9" w:rsidR="00B97223" w:rsidRPr="00353EF0" w:rsidRDefault="00B97223" w:rsidP="00B97223">
            <w:pPr>
              <w:pStyle w:val="TableDataEntries"/>
            </w:pPr>
            <w:r>
              <w:rPr>
                <w:sz w:val="18"/>
              </w:rPr>
              <w:t>-1.4</w:t>
            </w:r>
          </w:p>
        </w:tc>
      </w:tr>
    </w:tbl>
    <w:p w14:paraId="1F1C205E" w14:textId="77777777" w:rsidR="00B97223" w:rsidRDefault="00B97223" w:rsidP="00B97223">
      <w:pPr>
        <w:pStyle w:val="Source"/>
      </w:pPr>
      <w:r>
        <w:rPr>
          <w:i/>
        </w:rPr>
        <w:t>Source</w:t>
      </w:r>
      <w:r w:rsidRPr="00E4232C">
        <w:rPr>
          <w:i/>
        </w:rPr>
        <w:t>:</w:t>
      </w:r>
      <w:r>
        <w:t xml:space="preserve"> The CIE</w:t>
      </w:r>
    </w:p>
    <w:p w14:paraId="699B5E63" w14:textId="0012AE0E" w:rsidR="00B97223" w:rsidRDefault="00B97223" w:rsidP="00B97223">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w:instrText>
      </w:r>
      <w:r w:rsidRPr="00695C93">
        <w:fldChar w:fldCharType="separate"/>
      </w:r>
      <w:r>
        <w:rPr>
          <w:noProof/>
        </w:rPr>
        <w:instrText>3</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3</w:instrText>
      </w:r>
      <w:r w:rsidR="00187D65">
        <w:rPr>
          <w:noProof/>
        </w:rPr>
        <w:fldChar w:fldCharType="end"/>
      </w:r>
      <w:r w:rsidRPr="00695C93">
        <w:instrText xml:space="preserve"> = 0 "" "1" </w:instrText>
      </w:r>
      <w:r w:rsidRPr="00695C93">
        <w:fldChar w:fldCharType="separate"/>
      </w:r>
      <w:r w:rsidR="00E77CED"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4</w:instrText>
      </w:r>
      <w:r w:rsidRPr="00695C93">
        <w:fldChar w:fldCharType="end"/>
      </w:r>
      <w:r w:rsidRPr="00695C93">
        <w:instrText xml:space="preserve">" "" </w:instrText>
      </w:r>
      <w:r w:rsidRPr="00695C93">
        <w:fldChar w:fldCharType="separate"/>
      </w:r>
      <w:bookmarkStart w:id="455" w:name="_Caption2962"/>
      <w:bookmarkStart w:id="456" w:name="_Caption0098"/>
      <w:bookmarkStart w:id="457" w:name="_Caption8611"/>
      <w:bookmarkStart w:id="458" w:name="_Caption0135"/>
      <w:bookmarkStart w:id="459" w:name="_Caption2535"/>
      <w:bookmarkStart w:id="460" w:name="_Caption4089"/>
      <w:bookmarkStart w:id="461" w:name="_Caption5966"/>
      <w:bookmarkStart w:id="462" w:name="_Toc9778489"/>
      <w:r w:rsidR="008A2B2B">
        <w:rPr>
          <w:noProof/>
        </w:rPr>
        <w:t>B</w:t>
      </w:r>
      <w:r w:rsidR="008A2B2B" w:rsidRPr="00695C93">
        <w:rPr>
          <w:noProof/>
        </w:rPr>
        <w:t>.</w:t>
      </w:r>
      <w:r w:rsidR="008A2B2B">
        <w:rPr>
          <w:noProof/>
        </w:rPr>
        <w:t>4</w:t>
      </w:r>
      <w:bookmarkEnd w:id="455"/>
      <w:bookmarkEnd w:id="456"/>
      <w:bookmarkEnd w:id="457"/>
      <w:bookmarkEnd w:id="458"/>
      <w:bookmarkEnd w:id="459"/>
      <w:bookmarkEnd w:id="460"/>
      <w:bookmarkEnd w:id="461"/>
      <w:r w:rsidRPr="00695C93">
        <w:fldChar w:fldCharType="end"/>
      </w:r>
      <w:r w:rsidRPr="00695C93">
        <w:tab/>
      </w:r>
      <w:r>
        <w:t>Discounted loss of GSI due to emissions reduction between 2020 and 2050 (share of baseline GSI 2020-2050), by scenario relative high sensitivity baseline</w:t>
      </w:r>
      <w:bookmarkEnd w:id="462"/>
    </w:p>
    <w:tbl>
      <w:tblPr>
        <w:tblW w:w="8052" w:type="dxa"/>
        <w:tblLayout w:type="fixed"/>
        <w:tblLook w:val="04A0" w:firstRow="1" w:lastRow="0" w:firstColumn="1" w:lastColumn="0" w:noHBand="0" w:noVBand="1"/>
      </w:tblPr>
      <w:tblGrid>
        <w:gridCol w:w="1560"/>
        <w:gridCol w:w="1134"/>
        <w:gridCol w:w="1339"/>
        <w:gridCol w:w="1340"/>
        <w:gridCol w:w="1339"/>
        <w:gridCol w:w="1340"/>
      </w:tblGrid>
      <w:tr w:rsidR="00B97223" w:rsidRPr="00353EF0" w14:paraId="484383A1" w14:textId="77777777" w:rsidTr="00E65913">
        <w:trPr>
          <w:trHeight w:val="255"/>
        </w:trPr>
        <w:tc>
          <w:tcPr>
            <w:tcW w:w="1560" w:type="dxa"/>
            <w:tcBorders>
              <w:bottom w:val="single" w:sz="8" w:space="0" w:color="FFFFFF" w:themeColor="background1"/>
            </w:tcBorders>
            <w:shd w:val="clear" w:color="auto" w:fill="6F6652"/>
            <w:noWrap/>
            <w:tcMar>
              <w:left w:w="57" w:type="dxa"/>
              <w:right w:w="57" w:type="dxa"/>
            </w:tcMar>
            <w:hideMark/>
          </w:tcPr>
          <w:p w14:paraId="0880EB9D" w14:textId="77777777" w:rsidR="00B97223" w:rsidRPr="00353EF0" w:rsidRDefault="00B97223" w:rsidP="00E65913">
            <w:pPr>
              <w:pStyle w:val="TableDataColumnHeading"/>
              <w:jc w:val="left"/>
            </w:pPr>
            <w:r>
              <w:t>Cost curve</w:t>
            </w:r>
          </w:p>
        </w:tc>
        <w:tc>
          <w:tcPr>
            <w:tcW w:w="1134" w:type="dxa"/>
            <w:tcBorders>
              <w:bottom w:val="single" w:sz="8" w:space="0" w:color="FFFFFF" w:themeColor="background1"/>
            </w:tcBorders>
            <w:shd w:val="clear" w:color="auto" w:fill="6F6652"/>
            <w:noWrap/>
            <w:tcMar>
              <w:left w:w="57" w:type="dxa"/>
              <w:right w:w="57" w:type="dxa"/>
            </w:tcMar>
            <w:hideMark/>
          </w:tcPr>
          <w:p w14:paraId="54DB8BDF" w14:textId="77777777" w:rsidR="00B97223" w:rsidRPr="00353EF0" w:rsidRDefault="00B97223" w:rsidP="00E65913">
            <w:pPr>
              <w:pStyle w:val="TableDataColumnHeading"/>
              <w:rPr>
                <w:rFonts w:ascii="Franklin Gothic Book" w:hAnsi="Franklin Gothic Book"/>
                <w:i/>
                <w:sz w:val="18"/>
              </w:rPr>
            </w:pPr>
            <w:r w:rsidRPr="00353EF0">
              <w:rPr>
                <w:i/>
              </w:rPr>
              <w:t>Discount rate</w:t>
            </w:r>
          </w:p>
        </w:tc>
        <w:tc>
          <w:tcPr>
            <w:tcW w:w="5358" w:type="dxa"/>
            <w:gridSpan w:val="4"/>
            <w:tcBorders>
              <w:bottom w:val="single" w:sz="8" w:space="0" w:color="FFFFFF" w:themeColor="background1"/>
            </w:tcBorders>
            <w:shd w:val="clear" w:color="auto" w:fill="6F6652"/>
            <w:noWrap/>
            <w:tcMar>
              <w:left w:w="57" w:type="dxa"/>
              <w:right w:w="57" w:type="dxa"/>
            </w:tcMar>
            <w:hideMark/>
          </w:tcPr>
          <w:p w14:paraId="0591DFCE" w14:textId="77777777" w:rsidR="00B97223" w:rsidRPr="00353EF0" w:rsidRDefault="00B97223" w:rsidP="00E65913">
            <w:pPr>
              <w:pStyle w:val="TableDataColumnHeading"/>
              <w:jc w:val="left"/>
              <w:rPr>
                <w:rFonts w:ascii="Franklin Gothic Book" w:hAnsi="Franklin Gothic Book"/>
                <w:sz w:val="18"/>
              </w:rPr>
            </w:pPr>
            <w:r>
              <w:t xml:space="preserve">Scenario: level of emissions in 2030 (reduction relative to 2005) </w:t>
            </w:r>
          </w:p>
        </w:tc>
      </w:tr>
      <w:tr w:rsidR="00B97223" w:rsidRPr="00353EF0" w14:paraId="681BB330" w14:textId="77777777" w:rsidTr="00E65913">
        <w:trPr>
          <w:trHeight w:val="255"/>
        </w:trPr>
        <w:tc>
          <w:tcPr>
            <w:tcW w:w="156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611D8E41" w14:textId="77777777" w:rsidR="00B97223" w:rsidRPr="00353EF0" w:rsidRDefault="00B97223" w:rsidP="00E65913">
            <w:pPr>
              <w:pStyle w:val="TableUnit"/>
              <w:jc w:val="left"/>
            </w:pPr>
          </w:p>
        </w:tc>
        <w:tc>
          <w:tcPr>
            <w:tcW w:w="1134"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45E73A7D" w14:textId="77777777" w:rsidR="00B97223" w:rsidRPr="00353EF0" w:rsidRDefault="00B97223" w:rsidP="00E65913">
            <w:pPr>
              <w:pStyle w:val="TableUnit"/>
              <w:rPr>
                <w:i/>
              </w:rPr>
            </w:pPr>
            <w:r w:rsidRPr="00353EF0">
              <w:rPr>
                <w:i/>
              </w:rPr>
              <w: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52BBB64F" w14:textId="77777777" w:rsidR="00B97223" w:rsidRPr="00353EF0" w:rsidRDefault="00B97223" w:rsidP="00E65913">
            <w:pPr>
              <w:pStyle w:val="TableUnit"/>
            </w:pPr>
            <w:r w:rsidRPr="00353EF0">
              <w:t>28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064DD9EE" w14:textId="77777777" w:rsidR="00B97223" w:rsidRPr="00353EF0" w:rsidRDefault="00B97223" w:rsidP="00E65913">
            <w:pPr>
              <w:pStyle w:val="TableUnit"/>
            </w:pPr>
            <w:r w:rsidRPr="00353EF0">
              <w:t>45 per cent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73AE4225" w14:textId="77777777" w:rsidR="00B97223" w:rsidRPr="00353EF0" w:rsidRDefault="00B97223" w:rsidP="00E65913">
            <w:pPr>
              <w:pStyle w:val="TableUnit"/>
            </w:pPr>
            <w:r w:rsidRPr="00353EF0">
              <w:t>55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7F2C789A" w14:textId="77777777" w:rsidR="00B97223" w:rsidRPr="00353EF0" w:rsidRDefault="00B97223" w:rsidP="00E65913">
            <w:pPr>
              <w:pStyle w:val="TableUnit"/>
            </w:pPr>
            <w:r w:rsidRPr="00353EF0">
              <w:t>65 per cent</w:t>
            </w:r>
          </w:p>
        </w:tc>
      </w:tr>
      <w:tr w:rsidR="00B97223" w:rsidRPr="00353EF0" w14:paraId="222B4574" w14:textId="77777777" w:rsidTr="00E65913">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09B63366" w14:textId="643C3DE5" w:rsidR="00B97223" w:rsidRPr="00353EF0" w:rsidRDefault="003156D6" w:rsidP="00B97223">
            <w:pPr>
              <w:pStyle w:val="TableDataEntries"/>
              <w:jc w:val="left"/>
            </w:pPr>
            <w:r>
              <w:t>Flat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DDE864E" w14:textId="77777777" w:rsidR="00B97223" w:rsidRPr="00353EF0" w:rsidRDefault="00B97223" w:rsidP="00B97223">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CD3254B" w14:textId="330F0759" w:rsidR="00B97223" w:rsidRPr="00353EF0" w:rsidRDefault="00B97223" w:rsidP="00B97223">
            <w:pPr>
              <w:pStyle w:val="TableDataEntries"/>
            </w:pPr>
            <w:r>
              <w:rPr>
                <w:sz w:val="18"/>
              </w:rPr>
              <w:t>-0.5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B4A889C" w14:textId="7A635274" w:rsidR="00B97223" w:rsidRPr="00353EF0" w:rsidRDefault="00B97223" w:rsidP="00B97223">
            <w:pPr>
              <w:pStyle w:val="TableDataEntries"/>
            </w:pPr>
            <w:r>
              <w:rPr>
                <w:sz w:val="18"/>
              </w:rPr>
              <w:t>-0.5</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567A4C2" w14:textId="72EDCA78" w:rsidR="00B97223" w:rsidRPr="00353EF0" w:rsidRDefault="00B97223" w:rsidP="00B97223">
            <w:pPr>
              <w:pStyle w:val="TableDataEntries"/>
            </w:pPr>
            <w:r>
              <w:rPr>
                <w:sz w:val="18"/>
              </w:rPr>
              <w:t>-0.5</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04288963" w14:textId="7DDD3A5F" w:rsidR="00B97223" w:rsidRPr="00353EF0" w:rsidRDefault="00B97223" w:rsidP="00B97223">
            <w:pPr>
              <w:pStyle w:val="TableDataEntries"/>
            </w:pPr>
            <w:r>
              <w:rPr>
                <w:sz w:val="18"/>
              </w:rPr>
              <w:t>-0.4</w:t>
            </w:r>
          </w:p>
        </w:tc>
      </w:tr>
      <w:tr w:rsidR="00B97223" w:rsidRPr="00353EF0" w14:paraId="2D7D2425" w14:textId="77777777" w:rsidTr="00E65913">
        <w:trPr>
          <w:trHeight w:val="255"/>
        </w:trPr>
        <w:tc>
          <w:tcPr>
            <w:tcW w:w="1560" w:type="dxa"/>
            <w:vMerge/>
            <w:shd w:val="clear" w:color="auto" w:fill="E9E8E5" w:themeFill="background2"/>
            <w:noWrap/>
            <w:tcMar>
              <w:left w:w="57" w:type="dxa"/>
              <w:right w:w="57" w:type="dxa"/>
            </w:tcMar>
            <w:hideMark/>
          </w:tcPr>
          <w:p w14:paraId="7114263D"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D0BEDB8" w14:textId="77777777" w:rsidR="00B97223" w:rsidRPr="00353EF0" w:rsidRDefault="00B97223" w:rsidP="00B97223">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DAB738D" w14:textId="78688684" w:rsidR="00B97223" w:rsidRPr="00353EF0" w:rsidRDefault="00B97223" w:rsidP="00B97223">
            <w:pPr>
              <w:pStyle w:val="TableDataEntries"/>
            </w:pPr>
            <w:r>
              <w:rPr>
                <w:sz w:val="18"/>
              </w:rP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757CBB8A" w14:textId="1503D078" w:rsidR="00B97223" w:rsidRPr="00353EF0" w:rsidRDefault="00B97223" w:rsidP="00B97223">
            <w:pPr>
              <w:pStyle w:val="TableDataEntries"/>
            </w:pPr>
            <w:r>
              <w:rPr>
                <w:sz w:val="18"/>
              </w:rPr>
              <w:t>-0.4</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D339CBC" w14:textId="482E9CA8" w:rsidR="00B97223" w:rsidRPr="00353EF0" w:rsidRDefault="00B97223" w:rsidP="00B97223">
            <w:pPr>
              <w:pStyle w:val="TableDataEntries"/>
            </w:pPr>
            <w:r>
              <w:rPr>
                <w:sz w:val="18"/>
              </w:rPr>
              <w:t>-0.4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010BF06" w14:textId="15ACBE31" w:rsidR="00B97223" w:rsidRPr="00353EF0" w:rsidRDefault="00B97223" w:rsidP="00B97223">
            <w:pPr>
              <w:pStyle w:val="TableDataEntries"/>
            </w:pPr>
            <w:r>
              <w:rPr>
                <w:sz w:val="18"/>
              </w:rPr>
              <w:t>-0.4</w:t>
            </w:r>
          </w:p>
        </w:tc>
      </w:tr>
      <w:tr w:rsidR="00B97223" w:rsidRPr="00353EF0" w14:paraId="686DB9A9" w14:textId="77777777" w:rsidTr="00E65913">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34E0668D"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FCAF129" w14:textId="77777777" w:rsidR="00B97223" w:rsidRPr="00353EF0" w:rsidRDefault="00B97223" w:rsidP="00B97223">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479285BD" w14:textId="1F794BB1" w:rsidR="00B97223" w:rsidRPr="00353EF0" w:rsidRDefault="00B97223" w:rsidP="00B97223">
            <w:pPr>
              <w:pStyle w:val="TableDataEntries"/>
            </w:pPr>
            <w:r>
              <w:rPr>
                <w:sz w:val="18"/>
              </w:rP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B218750" w14:textId="3254F85C" w:rsidR="00B97223" w:rsidRPr="00353EF0" w:rsidRDefault="00B97223" w:rsidP="00B97223">
            <w:pPr>
              <w:pStyle w:val="TableDataEntries"/>
            </w:pPr>
            <w:r>
              <w:rPr>
                <w:sz w:val="18"/>
              </w:rPr>
              <w:t>-0.3</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3050F83B" w14:textId="207FDB3E" w:rsidR="00B97223" w:rsidRPr="00353EF0" w:rsidRDefault="00B97223" w:rsidP="00B97223">
            <w:pPr>
              <w:pStyle w:val="TableDataEntries"/>
            </w:pPr>
            <w:r>
              <w:rPr>
                <w:sz w:val="18"/>
              </w:rPr>
              <w:t>-0.3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2D4FC60D" w14:textId="2B853694" w:rsidR="00B97223" w:rsidRPr="00353EF0" w:rsidRDefault="00B97223" w:rsidP="00B97223">
            <w:pPr>
              <w:pStyle w:val="TableDataEntries"/>
            </w:pPr>
            <w:r>
              <w:rPr>
                <w:sz w:val="18"/>
              </w:rPr>
              <w:t>-0.3</w:t>
            </w:r>
          </w:p>
        </w:tc>
      </w:tr>
      <w:tr w:rsidR="00B97223" w:rsidRPr="00353EF0" w14:paraId="090D3A09" w14:textId="77777777" w:rsidTr="00E65913">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54787989" w14:textId="349FD08B" w:rsidR="00B97223" w:rsidRPr="00353EF0" w:rsidRDefault="003156D6" w:rsidP="00B97223">
            <w:pPr>
              <w:pStyle w:val="TableDataEntries"/>
              <w:jc w:val="left"/>
            </w:pPr>
            <w:r>
              <w:t>Steep cost curve</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CDB6140" w14:textId="77777777" w:rsidR="00B97223" w:rsidRPr="00353EF0" w:rsidRDefault="00B97223" w:rsidP="00B97223">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772E9DFA" w14:textId="56233CE0" w:rsidR="00B97223" w:rsidRPr="00353EF0" w:rsidRDefault="00B97223" w:rsidP="00B97223">
            <w:pPr>
              <w:pStyle w:val="TableDataEntries"/>
            </w:pPr>
            <w:r>
              <w:rPr>
                <w:sz w:val="18"/>
              </w:rPr>
              <w:t>-4.1</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26F75D5" w14:textId="7FE8D33A" w:rsidR="00B97223" w:rsidRPr="00353EF0" w:rsidRDefault="00B97223" w:rsidP="00B97223">
            <w:pPr>
              <w:pStyle w:val="TableDataEntries"/>
            </w:pPr>
            <w:r>
              <w:rPr>
                <w:sz w:val="18"/>
              </w:rPr>
              <w:t>-3.7</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9084984" w14:textId="51162CC1" w:rsidR="00B97223" w:rsidRPr="00353EF0" w:rsidRDefault="00B97223" w:rsidP="00B97223">
            <w:pPr>
              <w:pStyle w:val="TableDataEntries"/>
            </w:pPr>
            <w:r>
              <w:rPr>
                <w:sz w:val="18"/>
              </w:rPr>
              <w:t>-3.4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6DF91E53" w14:textId="7EAAB56D" w:rsidR="00B97223" w:rsidRPr="00353EF0" w:rsidRDefault="00B97223" w:rsidP="00B97223">
            <w:pPr>
              <w:pStyle w:val="TableDataEntries"/>
            </w:pPr>
            <w:r>
              <w:rPr>
                <w:sz w:val="18"/>
              </w:rPr>
              <w:t>-3.2</w:t>
            </w:r>
          </w:p>
        </w:tc>
      </w:tr>
      <w:tr w:rsidR="00B97223" w:rsidRPr="00353EF0" w14:paraId="78AA9705" w14:textId="77777777" w:rsidTr="00E65913">
        <w:trPr>
          <w:trHeight w:val="255"/>
        </w:trPr>
        <w:tc>
          <w:tcPr>
            <w:tcW w:w="1560" w:type="dxa"/>
            <w:vMerge/>
            <w:shd w:val="clear" w:color="auto" w:fill="E9E8E5" w:themeFill="background2"/>
            <w:noWrap/>
            <w:tcMar>
              <w:left w:w="57" w:type="dxa"/>
              <w:right w:w="57" w:type="dxa"/>
            </w:tcMar>
            <w:hideMark/>
          </w:tcPr>
          <w:p w14:paraId="5B7823B0" w14:textId="77777777" w:rsidR="00B97223" w:rsidRPr="00353EF0" w:rsidRDefault="00B97223" w:rsidP="00B97223">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AFE0E86" w14:textId="77777777" w:rsidR="00B97223" w:rsidRPr="00353EF0" w:rsidRDefault="00B97223" w:rsidP="00B97223">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6F80009F" w14:textId="24042DE8" w:rsidR="00B97223" w:rsidRPr="00353EF0" w:rsidRDefault="00B97223" w:rsidP="00B97223">
            <w:pPr>
              <w:pStyle w:val="TableDataEntries"/>
            </w:pPr>
            <w:r>
              <w:rPr>
                <w:sz w:val="18"/>
              </w:rPr>
              <w:t>-3.3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1CA4BAB7" w14:textId="52683F2E" w:rsidR="00B97223" w:rsidRPr="00353EF0" w:rsidRDefault="00B97223" w:rsidP="00B97223">
            <w:pPr>
              <w:pStyle w:val="TableDataEntries"/>
            </w:pPr>
            <w:r>
              <w:rPr>
                <w:sz w:val="18"/>
              </w:rPr>
              <w:t>-3.0</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769BC822" w14:textId="51C47C6F" w:rsidR="00B97223" w:rsidRPr="00353EF0" w:rsidRDefault="00B97223" w:rsidP="00B97223">
            <w:pPr>
              <w:pStyle w:val="TableDataEntries"/>
            </w:pPr>
            <w:r>
              <w:rPr>
                <w:sz w:val="18"/>
              </w:rPr>
              <w:t>-2.9</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vAlign w:val="bottom"/>
            <w:hideMark/>
          </w:tcPr>
          <w:p w14:paraId="5159AF65" w14:textId="1A074483" w:rsidR="00B97223" w:rsidRPr="00353EF0" w:rsidRDefault="00B97223" w:rsidP="00B97223">
            <w:pPr>
              <w:pStyle w:val="TableDataEntries"/>
            </w:pPr>
            <w:r>
              <w:rPr>
                <w:sz w:val="18"/>
              </w:rPr>
              <w:t>-2.8</w:t>
            </w:r>
          </w:p>
        </w:tc>
      </w:tr>
      <w:tr w:rsidR="00B97223" w:rsidRPr="00353EF0" w14:paraId="5124FDAF" w14:textId="77777777" w:rsidTr="00E65913">
        <w:trPr>
          <w:trHeight w:val="255"/>
        </w:trPr>
        <w:tc>
          <w:tcPr>
            <w:tcW w:w="1560" w:type="dxa"/>
            <w:vMerge/>
            <w:tcBorders>
              <w:bottom w:val="single" w:sz="4" w:space="0" w:color="auto"/>
            </w:tcBorders>
            <w:shd w:val="clear" w:color="auto" w:fill="E9E8E5" w:themeFill="background2"/>
            <w:noWrap/>
            <w:tcMar>
              <w:left w:w="57" w:type="dxa"/>
              <w:right w:w="57" w:type="dxa"/>
            </w:tcMar>
            <w:hideMark/>
          </w:tcPr>
          <w:p w14:paraId="43709925" w14:textId="77777777" w:rsidR="00B97223" w:rsidRPr="00353EF0" w:rsidRDefault="00B97223" w:rsidP="00B97223">
            <w:pPr>
              <w:pStyle w:val="TableDataEntries"/>
              <w:jc w:val="left"/>
            </w:pPr>
          </w:p>
        </w:tc>
        <w:tc>
          <w:tcPr>
            <w:tcW w:w="1134"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51B003DF" w14:textId="77777777" w:rsidR="00B97223" w:rsidRPr="00353EF0" w:rsidRDefault="00B97223" w:rsidP="00B97223">
            <w:pPr>
              <w:pStyle w:val="TableDataEntries"/>
              <w:rPr>
                <w:i/>
              </w:rPr>
            </w:pPr>
            <w:r>
              <w:rPr>
                <w:i/>
              </w:rPr>
              <w:t>7.0 per cent</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68915D46" w14:textId="2BA00513" w:rsidR="00B97223" w:rsidRPr="00353EF0" w:rsidRDefault="00B97223" w:rsidP="00B97223">
            <w:pPr>
              <w:pStyle w:val="TableDataEntries"/>
            </w:pPr>
            <w:r>
              <w:rPr>
                <w:sz w:val="18"/>
              </w:rPr>
              <w:t>-2.6</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2BB42969" w14:textId="42475136" w:rsidR="00B97223" w:rsidRPr="00353EF0" w:rsidRDefault="00B97223" w:rsidP="00B97223">
            <w:pPr>
              <w:pStyle w:val="TableDataEntries"/>
            </w:pPr>
            <w:r>
              <w:rPr>
                <w:sz w:val="18"/>
              </w:rPr>
              <w:t>-2.4</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39A578F6" w14:textId="37E11E25" w:rsidR="00B97223" w:rsidRPr="00353EF0" w:rsidRDefault="00B97223" w:rsidP="00B97223">
            <w:pPr>
              <w:pStyle w:val="TableDataEntries"/>
            </w:pPr>
            <w:r>
              <w:rPr>
                <w:sz w:val="18"/>
              </w:rPr>
              <w:t>-2.3</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vAlign w:val="bottom"/>
            <w:hideMark/>
          </w:tcPr>
          <w:p w14:paraId="1C1E4AB7" w14:textId="74249241" w:rsidR="00B97223" w:rsidRPr="00353EF0" w:rsidRDefault="00B97223" w:rsidP="00B97223">
            <w:pPr>
              <w:pStyle w:val="TableDataEntries"/>
            </w:pPr>
            <w:r>
              <w:rPr>
                <w:sz w:val="18"/>
              </w:rPr>
              <w:t>-2.4</w:t>
            </w:r>
          </w:p>
        </w:tc>
      </w:tr>
    </w:tbl>
    <w:p w14:paraId="13250D0D" w14:textId="77777777" w:rsidR="00B97223" w:rsidRDefault="00B97223" w:rsidP="00B97223">
      <w:pPr>
        <w:pStyle w:val="Source"/>
      </w:pPr>
      <w:r>
        <w:rPr>
          <w:i/>
        </w:rPr>
        <w:t>Source</w:t>
      </w:r>
      <w:r w:rsidRPr="00E4232C">
        <w:rPr>
          <w:i/>
        </w:rPr>
        <w:t>:</w:t>
      </w:r>
      <w:r>
        <w:t xml:space="preserve"> The CIE</w:t>
      </w:r>
    </w:p>
    <w:p w14:paraId="259B24B2" w14:textId="3A83B302" w:rsidR="004E723F" w:rsidRDefault="004E723F" w:rsidP="004E723F">
      <w:pPr>
        <w:pStyle w:val="Heading7"/>
        <w:rPr>
          <w:lang w:bidi="fa-IR"/>
        </w:rPr>
      </w:pPr>
      <w:r>
        <w:rPr>
          <w:lang w:bidi="fa-IR"/>
        </w:rPr>
        <w:lastRenderedPageBreak/>
        <w:t>Budget sensitivity</w:t>
      </w:r>
    </w:p>
    <w:p w14:paraId="77F1B5AC" w14:textId="74E2B766" w:rsidR="00F708C8" w:rsidRDefault="00CC745E" w:rsidP="004E723F">
      <w:pPr>
        <w:pStyle w:val="BodyText"/>
        <w:rPr>
          <w:lang w:bidi="fa-IR"/>
        </w:rPr>
      </w:pPr>
      <w:r w:rsidRPr="00F708C8">
        <w:rPr>
          <w:lang w:bidi="fa-IR"/>
        </w:rPr>
        <w:t xml:space="preserve">As noted the Department </w:t>
      </w:r>
      <w:r w:rsidR="00F708C8">
        <w:rPr>
          <w:lang w:bidi="fa-IR"/>
        </w:rPr>
        <w:t>has assumed a constant emissions budget across scenarios between 2017 and 2050. In each scenario, emissions are constant between 2017 and 2020. Emissions vary across scenarios between 2021 and 2050.</w:t>
      </w:r>
    </w:p>
    <w:p w14:paraId="38A2BB45" w14:textId="328BDF3B" w:rsidR="00F708C8" w:rsidRDefault="00F708C8" w:rsidP="004E723F">
      <w:pPr>
        <w:pStyle w:val="BodyText"/>
        <w:rPr>
          <w:lang w:bidi="fa-IR"/>
        </w:rPr>
      </w:pPr>
      <w:r>
        <w:rPr>
          <w:lang w:bidi="fa-IR"/>
        </w:rPr>
        <w:t xml:space="preserve">As a sensitivity, we add 10 per cent to emissions in each scenario between 2021 and 2050 (except for baseline). This increases the effective emissions budget by 7 per cent. The deviation in emissions from baseline is shown in Chart </w:t>
      </w:r>
      <w:r>
        <w:rPr>
          <w:lang w:bidi="fa-IR"/>
        </w:rPr>
        <w:fldChar w:fldCharType="begin"/>
      </w:r>
      <w:r>
        <w:rPr>
          <w:lang w:bidi="fa-IR"/>
        </w:rPr>
        <w:instrText xml:space="preserve"> REF _Caption5883 </w:instrText>
      </w:r>
      <w:r>
        <w:rPr>
          <w:lang w:bidi="fa-IR"/>
        </w:rPr>
        <w:fldChar w:fldCharType="separate"/>
      </w:r>
      <w:r w:rsidR="00ED1D13">
        <w:rPr>
          <w:noProof/>
        </w:rPr>
        <w:t>B</w:t>
      </w:r>
      <w:r w:rsidR="00ED1D13" w:rsidRPr="00695C93">
        <w:rPr>
          <w:noProof/>
        </w:rPr>
        <w:t>.</w:t>
      </w:r>
      <w:r w:rsidR="00ED1D13">
        <w:rPr>
          <w:noProof/>
        </w:rPr>
        <w:t>5</w:t>
      </w:r>
      <w:r>
        <w:rPr>
          <w:lang w:bidi="fa-IR"/>
        </w:rPr>
        <w:fldChar w:fldCharType="end"/>
      </w:r>
      <w:r>
        <w:rPr>
          <w:lang w:bidi="fa-IR"/>
        </w:rPr>
        <w:t>.</w:t>
      </w:r>
      <w:r w:rsidR="007D58A6">
        <w:rPr>
          <w:lang w:bidi="fa-IR"/>
        </w:rPr>
        <w:t xml:space="preserve"> Table </w:t>
      </w:r>
      <w:r w:rsidR="007D58A6">
        <w:rPr>
          <w:lang w:bidi="fa-IR"/>
        </w:rPr>
        <w:fldChar w:fldCharType="begin"/>
      </w:r>
      <w:r w:rsidR="007D58A6">
        <w:rPr>
          <w:lang w:bidi="fa-IR"/>
        </w:rPr>
        <w:instrText xml:space="preserve"> REF _Caption6909 </w:instrText>
      </w:r>
      <w:r w:rsidR="007D58A6">
        <w:rPr>
          <w:lang w:bidi="fa-IR"/>
        </w:rPr>
        <w:fldChar w:fldCharType="separate"/>
      </w:r>
      <w:r w:rsidR="00ED1D13">
        <w:rPr>
          <w:noProof/>
        </w:rPr>
        <w:t>B</w:t>
      </w:r>
      <w:r w:rsidR="00ED1D13" w:rsidRPr="00695C93">
        <w:rPr>
          <w:noProof/>
        </w:rPr>
        <w:t>.</w:t>
      </w:r>
      <w:r w:rsidR="00ED1D13">
        <w:rPr>
          <w:noProof/>
        </w:rPr>
        <w:t>6</w:t>
      </w:r>
      <w:r w:rsidR="007D58A6">
        <w:rPr>
          <w:lang w:bidi="fa-IR"/>
        </w:rPr>
        <w:fldChar w:fldCharType="end"/>
      </w:r>
      <w:r w:rsidR="007D58A6">
        <w:rPr>
          <w:lang w:bidi="fa-IR"/>
        </w:rPr>
        <w:t xml:space="preserve">, which uses the </w:t>
      </w:r>
      <w:r w:rsidR="003156D6">
        <w:rPr>
          <w:lang w:bidi="fa-IR"/>
        </w:rPr>
        <w:t>steep cost curve</w:t>
      </w:r>
      <w:r w:rsidR="007D58A6">
        <w:rPr>
          <w:lang w:bidi="fa-IR"/>
        </w:rPr>
        <w:t>, sho</w:t>
      </w:r>
      <w:r w:rsidR="00E23B45">
        <w:rPr>
          <w:lang w:bidi="fa-IR"/>
        </w:rPr>
        <w:t>ws the key results don’t change — while the absolute value of impacts is smaller with a higher budget, the ranking of the options remains unchanged.</w:t>
      </w:r>
    </w:p>
    <w:p w14:paraId="73695F5B" w14:textId="423094D5" w:rsidR="00F708C8" w:rsidRPr="00695C93" w:rsidRDefault="00F708C8" w:rsidP="00FC005E">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w:instrText>
      </w:r>
      <w:r w:rsidRPr="00695C93">
        <w:fldChar w:fldCharType="separate"/>
      </w:r>
      <w:r>
        <w:rPr>
          <w:b/>
          <w:bCs/>
          <w:noProof/>
          <w:lang w:val="en-US"/>
        </w:rPr>
        <w:instrText>Error! No text of specified style in document.</w:instrText>
      </w:r>
      <w:r w:rsidRPr="00695C93">
        <w:rPr>
          <w:noProof/>
        </w:rPr>
        <w:instrText>.</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fldChar w:fldCharType="begin"/>
      </w:r>
      <w:r>
        <w:instrText xml:space="preserve"> STYLEREF "Heading 1" \l \n </w:instrText>
      </w:r>
      <w:r>
        <w:fldChar w:fldCharType="separate"/>
      </w:r>
      <w:r>
        <w:rPr>
          <w:b/>
          <w:bCs/>
          <w:noProof/>
          <w:lang w:val="en-US"/>
        </w:rPr>
        <w:instrText>Error! No text of specified style in document.</w:instrText>
      </w:r>
      <w:r>
        <w:rPr>
          <w:noProof/>
        </w:rPr>
        <w:fldChar w:fldCharType="end"/>
      </w:r>
      <w:r w:rsidRPr="00695C93">
        <w:instrText xml:space="preserve"> = 0 "" "1" </w:instrText>
      </w:r>
      <w:r w:rsidRPr="00695C93">
        <w:fldChar w:fldCharType="separate"/>
      </w:r>
      <w:r w:rsidRPr="00695C93">
        <w:rPr>
          <w:noProof/>
        </w:rPr>
        <w:instrText>1</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5</w:instrText>
      </w:r>
      <w:r w:rsidRPr="00695C93">
        <w:fldChar w:fldCharType="end"/>
      </w:r>
      <w:r w:rsidRPr="00695C93">
        <w:instrText xml:space="preserve">" "" </w:instrText>
      </w:r>
      <w:r w:rsidRPr="00695C93">
        <w:fldChar w:fldCharType="separate"/>
      </w:r>
      <w:bookmarkStart w:id="463" w:name="_Caption5883"/>
      <w:bookmarkStart w:id="464" w:name="_Caption7999"/>
      <w:bookmarkStart w:id="465" w:name="_Toc320545098"/>
      <w:bookmarkStart w:id="466" w:name="_Toc9778490"/>
      <w:r w:rsidR="008A2B2B">
        <w:rPr>
          <w:noProof/>
        </w:rPr>
        <w:t>B</w:t>
      </w:r>
      <w:r w:rsidR="008A2B2B" w:rsidRPr="00695C93">
        <w:rPr>
          <w:noProof/>
        </w:rPr>
        <w:t>.</w:t>
      </w:r>
      <w:r w:rsidR="008A2B2B">
        <w:rPr>
          <w:noProof/>
        </w:rPr>
        <w:t>5</w:t>
      </w:r>
      <w:bookmarkEnd w:id="463"/>
      <w:bookmarkEnd w:id="464"/>
      <w:r w:rsidRPr="00695C93">
        <w:fldChar w:fldCharType="end"/>
      </w:r>
      <w:r w:rsidRPr="00695C93">
        <w:tab/>
      </w:r>
      <w:bookmarkEnd w:id="465"/>
      <w:r>
        <w:t>Deviation in emissions from baseline (by scenario)</w:t>
      </w:r>
      <w:bookmarkEnd w:id="466"/>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8E5" w:themeFill="background2"/>
        <w:tblLayout w:type="fixed"/>
        <w:tblCellMar>
          <w:left w:w="0" w:type="dxa"/>
          <w:right w:w="0" w:type="dxa"/>
        </w:tblCellMar>
        <w:tblLook w:val="04A0" w:firstRow="1" w:lastRow="0" w:firstColumn="1" w:lastColumn="0" w:noHBand="0" w:noVBand="1"/>
      </w:tblPr>
      <w:tblGrid>
        <w:gridCol w:w="7938"/>
      </w:tblGrid>
      <w:tr w:rsidR="00F708C8" w14:paraId="30A9B78A" w14:textId="77777777" w:rsidTr="00FC005E">
        <w:trPr>
          <w:cantSplit/>
        </w:trPr>
        <w:tc>
          <w:tcPr>
            <w:tcW w:w="7938" w:type="dxa"/>
            <w:shd w:val="clear" w:color="auto" w:fill="E9E8E5" w:themeFill="background2"/>
          </w:tcPr>
          <w:p w14:paraId="2C7C1E78" w14:textId="092BB98C" w:rsidR="00F708C8" w:rsidRDefault="00F708C8" w:rsidP="00FC005E">
            <w:pPr>
              <w:pStyle w:val="Chart"/>
            </w:pPr>
            <w:r w:rsidRPr="00F708C8">
              <w:rPr>
                <w:noProof/>
              </w:rPr>
              <w:drawing>
                <wp:inline distT="0" distB="0" distL="0" distR="0" wp14:anchorId="2A541164" wp14:editId="0DB8E4BC">
                  <wp:extent cx="4874260" cy="25126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74260" cy="2512695"/>
                          </a:xfrm>
                          <a:prstGeom prst="rect">
                            <a:avLst/>
                          </a:prstGeom>
                          <a:noFill/>
                          <a:ln>
                            <a:noFill/>
                          </a:ln>
                        </pic:spPr>
                      </pic:pic>
                    </a:graphicData>
                  </a:graphic>
                </wp:inline>
              </w:drawing>
            </w:r>
          </w:p>
        </w:tc>
      </w:tr>
    </w:tbl>
    <w:p w14:paraId="68E9524C" w14:textId="71CE0DEA" w:rsidR="00F708C8" w:rsidRDefault="00F708C8" w:rsidP="00FC005E">
      <w:pPr>
        <w:pStyle w:val="Source"/>
      </w:pPr>
      <w:r>
        <w:rPr>
          <w:i/>
        </w:rPr>
        <w:t>Data source</w:t>
      </w:r>
      <w:r w:rsidRPr="00A67576">
        <w:rPr>
          <w:i/>
        </w:rPr>
        <w:t>:</w:t>
      </w:r>
      <w:r>
        <w:t xml:space="preserve"> The CIE</w:t>
      </w:r>
    </w:p>
    <w:p w14:paraId="0F065C93" w14:textId="1A57C7B2" w:rsidR="007D58A6" w:rsidRDefault="007D58A6" w:rsidP="007D58A6">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0</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2</w:instrText>
      </w:r>
      <w:r w:rsidR="00187D65">
        <w:rPr>
          <w:noProof/>
        </w:rPr>
        <w:fldChar w:fldCharType="end"/>
      </w:r>
      <w:r w:rsidRPr="00695C93">
        <w:instrText xml:space="preserve">." </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w:instrText>
      </w:r>
      <w:r w:rsidRPr="00695C93">
        <w:fldChar w:fldCharType="separate"/>
      </w:r>
      <w:r w:rsidR="00ED1D13">
        <w:rPr>
          <w:noProof/>
        </w:rPr>
        <w:instrText>B</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B</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0</w:instrText>
      </w:r>
      <w:r w:rsidR="00187D65">
        <w:rPr>
          <w:noProof/>
        </w:rPr>
        <w:fldChar w:fldCharType="end"/>
      </w:r>
      <w:r w:rsidRPr="00695C93">
        <w:instrText xml:space="preserve"> = 0 "" "1" </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6</w:instrText>
      </w:r>
      <w:r w:rsidRPr="00695C93">
        <w:fldChar w:fldCharType="end"/>
      </w:r>
      <w:r w:rsidRPr="00695C93">
        <w:instrText xml:space="preserve">" "" </w:instrText>
      </w:r>
      <w:r w:rsidRPr="00695C93">
        <w:fldChar w:fldCharType="separate"/>
      </w:r>
      <w:bookmarkStart w:id="467" w:name="_Caption6909"/>
      <w:bookmarkStart w:id="468" w:name="_Toc9778491"/>
      <w:r w:rsidR="008A2B2B">
        <w:rPr>
          <w:noProof/>
        </w:rPr>
        <w:t>B</w:t>
      </w:r>
      <w:r w:rsidR="008A2B2B" w:rsidRPr="00695C93">
        <w:rPr>
          <w:noProof/>
        </w:rPr>
        <w:t>.</w:t>
      </w:r>
      <w:r w:rsidR="008A2B2B">
        <w:rPr>
          <w:noProof/>
        </w:rPr>
        <w:t>6</w:t>
      </w:r>
      <w:bookmarkEnd w:id="467"/>
      <w:r w:rsidRPr="00695C93">
        <w:fldChar w:fldCharType="end"/>
      </w:r>
      <w:r w:rsidRPr="00695C93">
        <w:tab/>
      </w:r>
      <w:r>
        <w:t xml:space="preserve">Discounted loss of GSI due to emissions reduction between 2020 and 2050 (share of baseline GSI 2020-2050), by scenario relative </w:t>
      </w:r>
      <w:r w:rsidR="003156D6">
        <w:t>to core</w:t>
      </w:r>
      <w:r>
        <w:t xml:space="preserve"> baseline</w:t>
      </w:r>
      <w:bookmarkEnd w:id="468"/>
    </w:p>
    <w:tbl>
      <w:tblPr>
        <w:tblW w:w="8052" w:type="dxa"/>
        <w:tblLayout w:type="fixed"/>
        <w:tblLook w:val="04A0" w:firstRow="1" w:lastRow="0" w:firstColumn="1" w:lastColumn="0" w:noHBand="0" w:noVBand="1"/>
      </w:tblPr>
      <w:tblGrid>
        <w:gridCol w:w="1560"/>
        <w:gridCol w:w="1134"/>
        <w:gridCol w:w="1339"/>
        <w:gridCol w:w="1340"/>
        <w:gridCol w:w="1339"/>
        <w:gridCol w:w="1340"/>
      </w:tblGrid>
      <w:tr w:rsidR="007D58A6" w:rsidRPr="00353EF0" w14:paraId="2320F077" w14:textId="77777777" w:rsidTr="00FC005E">
        <w:trPr>
          <w:trHeight w:val="255"/>
        </w:trPr>
        <w:tc>
          <w:tcPr>
            <w:tcW w:w="1560" w:type="dxa"/>
            <w:tcBorders>
              <w:bottom w:val="single" w:sz="8" w:space="0" w:color="FFFFFF" w:themeColor="background1"/>
            </w:tcBorders>
            <w:shd w:val="clear" w:color="auto" w:fill="6F6652"/>
            <w:noWrap/>
            <w:tcMar>
              <w:left w:w="57" w:type="dxa"/>
              <w:right w:w="57" w:type="dxa"/>
            </w:tcMar>
            <w:hideMark/>
          </w:tcPr>
          <w:p w14:paraId="021A2E13" w14:textId="77777777" w:rsidR="007D58A6" w:rsidRPr="00353EF0" w:rsidRDefault="007D58A6" w:rsidP="00FC005E">
            <w:pPr>
              <w:pStyle w:val="TableDataColumnHeading"/>
              <w:jc w:val="left"/>
            </w:pPr>
            <w:r>
              <w:t>Cost curve</w:t>
            </w:r>
          </w:p>
        </w:tc>
        <w:tc>
          <w:tcPr>
            <w:tcW w:w="1134" w:type="dxa"/>
            <w:tcBorders>
              <w:bottom w:val="single" w:sz="8" w:space="0" w:color="FFFFFF" w:themeColor="background1"/>
            </w:tcBorders>
            <w:shd w:val="clear" w:color="auto" w:fill="6F6652"/>
            <w:noWrap/>
            <w:tcMar>
              <w:left w:w="57" w:type="dxa"/>
              <w:right w:w="57" w:type="dxa"/>
            </w:tcMar>
            <w:hideMark/>
          </w:tcPr>
          <w:p w14:paraId="41664AFF" w14:textId="77777777" w:rsidR="007D58A6" w:rsidRPr="00353EF0" w:rsidRDefault="007D58A6" w:rsidP="00FC005E">
            <w:pPr>
              <w:pStyle w:val="TableDataColumnHeading"/>
              <w:rPr>
                <w:rFonts w:ascii="Franklin Gothic Book" w:hAnsi="Franklin Gothic Book"/>
                <w:i/>
                <w:sz w:val="18"/>
              </w:rPr>
            </w:pPr>
            <w:r w:rsidRPr="00353EF0">
              <w:rPr>
                <w:i/>
              </w:rPr>
              <w:t>Discount rate</w:t>
            </w:r>
          </w:p>
        </w:tc>
        <w:tc>
          <w:tcPr>
            <w:tcW w:w="5358" w:type="dxa"/>
            <w:gridSpan w:val="4"/>
            <w:tcBorders>
              <w:bottom w:val="single" w:sz="8" w:space="0" w:color="FFFFFF" w:themeColor="background1"/>
            </w:tcBorders>
            <w:shd w:val="clear" w:color="auto" w:fill="6F6652"/>
            <w:noWrap/>
            <w:tcMar>
              <w:left w:w="57" w:type="dxa"/>
              <w:right w:w="57" w:type="dxa"/>
            </w:tcMar>
            <w:hideMark/>
          </w:tcPr>
          <w:p w14:paraId="0C57E60B" w14:textId="77777777" w:rsidR="007D58A6" w:rsidRPr="00353EF0" w:rsidRDefault="007D58A6" w:rsidP="00FC005E">
            <w:pPr>
              <w:pStyle w:val="TableDataColumnHeading"/>
              <w:jc w:val="left"/>
              <w:rPr>
                <w:rFonts w:ascii="Franklin Gothic Book" w:hAnsi="Franklin Gothic Book"/>
                <w:sz w:val="18"/>
              </w:rPr>
            </w:pPr>
            <w:r>
              <w:t xml:space="preserve">Scenario: level of emissions in 2030 (reduction relative to 2005) </w:t>
            </w:r>
          </w:p>
        </w:tc>
      </w:tr>
      <w:tr w:rsidR="007D58A6" w:rsidRPr="00353EF0" w14:paraId="2FEA901B" w14:textId="77777777" w:rsidTr="00FC005E">
        <w:trPr>
          <w:trHeight w:val="255"/>
        </w:trPr>
        <w:tc>
          <w:tcPr>
            <w:tcW w:w="156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41B5CF1C" w14:textId="77777777" w:rsidR="007D58A6" w:rsidRPr="00353EF0" w:rsidRDefault="007D58A6" w:rsidP="00FC005E">
            <w:pPr>
              <w:pStyle w:val="TableUnit"/>
              <w:jc w:val="left"/>
            </w:pPr>
          </w:p>
        </w:tc>
        <w:tc>
          <w:tcPr>
            <w:tcW w:w="1134"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76D742C1" w14:textId="77777777" w:rsidR="007D58A6" w:rsidRPr="00353EF0" w:rsidRDefault="007D58A6" w:rsidP="00FC005E">
            <w:pPr>
              <w:pStyle w:val="TableUnit"/>
              <w:rPr>
                <w:i/>
              </w:rPr>
            </w:pPr>
            <w:r w:rsidRPr="00353EF0">
              <w:rPr>
                <w:i/>
              </w:rPr>
              <w: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3B28E14C" w14:textId="77777777" w:rsidR="007D58A6" w:rsidRPr="00353EF0" w:rsidRDefault="007D58A6" w:rsidP="00FC005E">
            <w:pPr>
              <w:pStyle w:val="TableUnit"/>
            </w:pPr>
            <w:r w:rsidRPr="00353EF0">
              <w:t>28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2A57EBC4" w14:textId="77777777" w:rsidR="007D58A6" w:rsidRPr="00353EF0" w:rsidRDefault="007D58A6" w:rsidP="00FC005E">
            <w:pPr>
              <w:pStyle w:val="TableUnit"/>
            </w:pPr>
            <w:r w:rsidRPr="00353EF0">
              <w:t>45 per cent</w:t>
            </w:r>
          </w:p>
        </w:tc>
        <w:tc>
          <w:tcPr>
            <w:tcW w:w="1339"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09FC78CD" w14:textId="77777777" w:rsidR="007D58A6" w:rsidRPr="00353EF0" w:rsidRDefault="007D58A6" w:rsidP="00FC005E">
            <w:pPr>
              <w:pStyle w:val="TableUnit"/>
            </w:pPr>
            <w:r w:rsidRPr="00353EF0">
              <w:t>55 per cent</w:t>
            </w:r>
          </w:p>
        </w:tc>
        <w:tc>
          <w:tcPr>
            <w:tcW w:w="1340" w:type="dxa"/>
            <w:tcBorders>
              <w:top w:val="single" w:sz="8" w:space="0" w:color="FFFFFF" w:themeColor="background1"/>
              <w:bottom w:val="single" w:sz="8" w:space="0" w:color="FFFFFF" w:themeColor="background1"/>
            </w:tcBorders>
            <w:shd w:val="clear" w:color="auto" w:fill="auto"/>
            <w:noWrap/>
            <w:tcMar>
              <w:left w:w="57" w:type="dxa"/>
              <w:right w:w="57" w:type="dxa"/>
            </w:tcMar>
            <w:hideMark/>
          </w:tcPr>
          <w:p w14:paraId="35B30599" w14:textId="77777777" w:rsidR="007D58A6" w:rsidRPr="00353EF0" w:rsidRDefault="007D58A6" w:rsidP="00FC005E">
            <w:pPr>
              <w:pStyle w:val="TableUnit"/>
            </w:pPr>
            <w:r w:rsidRPr="00353EF0">
              <w:t>65 per cent</w:t>
            </w:r>
          </w:p>
        </w:tc>
      </w:tr>
      <w:tr w:rsidR="007D58A6" w:rsidRPr="00353EF0" w14:paraId="236C07CE" w14:textId="77777777" w:rsidTr="00FC005E">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54A72743" w14:textId="49D07A39" w:rsidR="007D58A6" w:rsidRPr="00353EF0" w:rsidRDefault="003156D6" w:rsidP="007D58A6">
            <w:pPr>
              <w:pStyle w:val="TableDataEntries"/>
              <w:jc w:val="left"/>
            </w:pPr>
            <w:r>
              <w:t xml:space="preserve">Steep cost curve, </w:t>
            </w:r>
            <w:r w:rsidR="007D58A6">
              <w:t>with DEWLP budget</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B9A0BCF" w14:textId="77777777" w:rsidR="007D58A6" w:rsidRPr="00353EF0" w:rsidRDefault="007D58A6" w:rsidP="007D58A6">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FC3CF34" w14:textId="1CF42D77" w:rsidR="007D58A6" w:rsidRPr="00353EF0" w:rsidRDefault="007D58A6" w:rsidP="007D58A6">
            <w:pPr>
              <w:pStyle w:val="TableDataEntries"/>
            </w:pPr>
            <w:r w:rsidRPr="00F708C8">
              <w:t>-3.6</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5F0D0EA" w14:textId="66858F8C" w:rsidR="007D58A6" w:rsidRPr="00353EF0" w:rsidRDefault="007D58A6" w:rsidP="007D58A6">
            <w:pPr>
              <w:pStyle w:val="TableDataEntries"/>
            </w:pPr>
            <w:r>
              <w:t>-3.1</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28B5E60" w14:textId="1BEFDF92" w:rsidR="007D58A6" w:rsidRPr="00353EF0" w:rsidRDefault="007D58A6" w:rsidP="007D58A6">
            <w:pPr>
              <w:pStyle w:val="TableDataEntries"/>
            </w:pPr>
            <w:r>
              <w:t>-2.7</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7B059A6" w14:textId="24F122C5" w:rsidR="007D58A6" w:rsidRPr="00353EF0" w:rsidRDefault="007D58A6" w:rsidP="007D58A6">
            <w:pPr>
              <w:pStyle w:val="TableDataEntries"/>
            </w:pPr>
            <w:r>
              <w:t>-2.4</w:t>
            </w:r>
          </w:p>
        </w:tc>
      </w:tr>
      <w:tr w:rsidR="007D58A6" w:rsidRPr="00353EF0" w14:paraId="5280B22C" w14:textId="77777777" w:rsidTr="00FC005E">
        <w:trPr>
          <w:trHeight w:val="255"/>
        </w:trPr>
        <w:tc>
          <w:tcPr>
            <w:tcW w:w="1560" w:type="dxa"/>
            <w:vMerge/>
            <w:shd w:val="clear" w:color="auto" w:fill="E9E8E5" w:themeFill="background2"/>
            <w:noWrap/>
            <w:tcMar>
              <w:left w:w="57" w:type="dxa"/>
              <w:right w:w="57" w:type="dxa"/>
            </w:tcMar>
            <w:hideMark/>
          </w:tcPr>
          <w:p w14:paraId="02741CCB" w14:textId="77777777" w:rsidR="007D58A6" w:rsidRPr="00353EF0" w:rsidRDefault="007D58A6" w:rsidP="007D58A6">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B8138A4" w14:textId="77777777" w:rsidR="007D58A6" w:rsidRPr="00353EF0" w:rsidRDefault="007D58A6" w:rsidP="007D58A6">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766BB74" w14:textId="626A44AC" w:rsidR="007D58A6" w:rsidRPr="00353EF0" w:rsidRDefault="007D58A6" w:rsidP="007D58A6">
            <w:pPr>
              <w:pStyle w:val="TableDataEntries"/>
            </w:pPr>
            <w:r>
              <w:t>-2.9</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B3233BE" w14:textId="12B20FA4" w:rsidR="007D58A6" w:rsidRPr="00353EF0" w:rsidRDefault="007D58A6" w:rsidP="007D58A6">
            <w:pPr>
              <w:pStyle w:val="TableDataEntries"/>
            </w:pPr>
            <w:r>
              <w:t>-2.5</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FF801B9" w14:textId="3DBF3D83" w:rsidR="007D58A6" w:rsidRPr="00353EF0" w:rsidRDefault="007D58A6" w:rsidP="007D58A6">
            <w:pPr>
              <w:pStyle w:val="TableDataEntries"/>
            </w:pPr>
            <w:r>
              <w:t>-2.3</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867003A" w14:textId="42B2493D" w:rsidR="007D58A6" w:rsidRPr="00353EF0" w:rsidRDefault="007D58A6" w:rsidP="007D58A6">
            <w:pPr>
              <w:pStyle w:val="TableDataEntries"/>
            </w:pPr>
            <w:r>
              <w:t>-2.1</w:t>
            </w:r>
          </w:p>
        </w:tc>
      </w:tr>
      <w:tr w:rsidR="007D58A6" w:rsidRPr="00353EF0" w14:paraId="32F52CF8" w14:textId="77777777" w:rsidTr="00FC005E">
        <w:trPr>
          <w:trHeight w:val="255"/>
        </w:trPr>
        <w:tc>
          <w:tcPr>
            <w:tcW w:w="1560" w:type="dxa"/>
            <w:vMerge/>
            <w:tcBorders>
              <w:bottom w:val="single" w:sz="8" w:space="0" w:color="FFFFFF" w:themeColor="background1"/>
            </w:tcBorders>
            <w:shd w:val="clear" w:color="auto" w:fill="E9E8E5" w:themeFill="background2"/>
            <w:noWrap/>
            <w:tcMar>
              <w:left w:w="57" w:type="dxa"/>
              <w:right w:w="57" w:type="dxa"/>
            </w:tcMar>
            <w:hideMark/>
          </w:tcPr>
          <w:p w14:paraId="2E401A8D" w14:textId="77777777" w:rsidR="007D58A6" w:rsidRPr="00353EF0" w:rsidRDefault="007D58A6" w:rsidP="007D58A6">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C476185" w14:textId="77777777" w:rsidR="007D58A6" w:rsidRPr="00353EF0" w:rsidRDefault="007D58A6" w:rsidP="007D58A6">
            <w:pPr>
              <w:pStyle w:val="TableDataEntries"/>
              <w:rPr>
                <w:i/>
              </w:rPr>
            </w:pPr>
            <w:r>
              <w:rPr>
                <w:i/>
              </w:rPr>
              <w:t>7.0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9752467" w14:textId="00D1DFF2" w:rsidR="007D58A6" w:rsidRPr="00353EF0" w:rsidRDefault="007D58A6" w:rsidP="007D58A6">
            <w:pPr>
              <w:pStyle w:val="TableDataEntries"/>
            </w:pPr>
            <w:r>
              <w:t>-2.2</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E024B46" w14:textId="561B0B4E" w:rsidR="007D58A6" w:rsidRPr="00353EF0" w:rsidRDefault="007D58A6" w:rsidP="007D58A6">
            <w:pPr>
              <w:pStyle w:val="TableDataEntries"/>
            </w:pPr>
            <w:r>
              <w:t>-1.9</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90E9DAF" w14:textId="6330AD04" w:rsidR="007D58A6" w:rsidRPr="00353EF0" w:rsidRDefault="007D58A6" w:rsidP="007D58A6">
            <w:pPr>
              <w:pStyle w:val="TableDataEntries"/>
            </w:pPr>
            <w:r>
              <w:t>-1.8</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0C43A15" w14:textId="6891E4E9" w:rsidR="007D58A6" w:rsidRPr="00353EF0" w:rsidRDefault="007D58A6" w:rsidP="007D58A6">
            <w:pPr>
              <w:pStyle w:val="TableDataEntries"/>
            </w:pPr>
            <w:r>
              <w:t>-1.8</w:t>
            </w:r>
          </w:p>
        </w:tc>
      </w:tr>
      <w:tr w:rsidR="007D58A6" w:rsidRPr="00353EF0" w14:paraId="22953997" w14:textId="77777777" w:rsidTr="00FC005E">
        <w:trPr>
          <w:trHeight w:val="255"/>
        </w:trPr>
        <w:tc>
          <w:tcPr>
            <w:tcW w:w="1560" w:type="dxa"/>
            <w:vMerge w:val="restart"/>
            <w:tcBorders>
              <w:top w:val="single" w:sz="8" w:space="0" w:color="FFFFFF" w:themeColor="background1"/>
            </w:tcBorders>
            <w:shd w:val="clear" w:color="auto" w:fill="E9E8E5" w:themeFill="background2"/>
            <w:noWrap/>
            <w:tcMar>
              <w:left w:w="57" w:type="dxa"/>
              <w:right w:w="57" w:type="dxa"/>
            </w:tcMar>
            <w:hideMark/>
          </w:tcPr>
          <w:p w14:paraId="02CAEAF5" w14:textId="748C3342" w:rsidR="007D58A6" w:rsidRPr="00353EF0" w:rsidRDefault="003156D6" w:rsidP="007D58A6">
            <w:pPr>
              <w:pStyle w:val="TableDataEntries"/>
              <w:jc w:val="left"/>
            </w:pPr>
            <w:r>
              <w:t>Steep cost curve</w:t>
            </w:r>
            <w:r w:rsidR="007D58A6">
              <w:t xml:space="preserve"> with DEWLP budget, with 10 per cent added from 2021</w:t>
            </w: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DA469B5" w14:textId="77777777" w:rsidR="007D58A6" w:rsidRPr="00353EF0" w:rsidRDefault="007D58A6" w:rsidP="007D58A6">
            <w:pPr>
              <w:pStyle w:val="TableDataEntries"/>
              <w:rPr>
                <w:i/>
              </w:rPr>
            </w:pPr>
            <w:r w:rsidRPr="00353EF0">
              <w:rPr>
                <w:i/>
              </w:rPr>
              <w:t>1.4</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7782124" w14:textId="3C16FFA5" w:rsidR="007D58A6" w:rsidRPr="00353EF0" w:rsidRDefault="007D58A6" w:rsidP="007D58A6">
            <w:pPr>
              <w:pStyle w:val="TableDataEntries"/>
            </w:pPr>
            <w:r>
              <w:t>-3.4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69C5180" w14:textId="78F90991" w:rsidR="007D58A6" w:rsidRPr="00353EF0" w:rsidRDefault="007D58A6" w:rsidP="007D58A6">
            <w:pPr>
              <w:pStyle w:val="TableDataEntries"/>
            </w:pPr>
            <w:r>
              <w:t>-2.8</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5EF52CC" w14:textId="231790CF" w:rsidR="007D58A6" w:rsidRPr="00353EF0" w:rsidRDefault="007D58A6" w:rsidP="007D58A6">
            <w:pPr>
              <w:pStyle w:val="TableDataEntries"/>
            </w:pPr>
            <w:r>
              <w:t>-2.4</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94837E6" w14:textId="115B8B7A" w:rsidR="007D58A6" w:rsidRPr="00353EF0" w:rsidRDefault="007D58A6" w:rsidP="007D58A6">
            <w:pPr>
              <w:pStyle w:val="TableDataEntries"/>
            </w:pPr>
            <w:r>
              <w:t>-2.0</w:t>
            </w:r>
          </w:p>
        </w:tc>
      </w:tr>
      <w:tr w:rsidR="007D58A6" w:rsidRPr="00353EF0" w14:paraId="09E410FF" w14:textId="77777777" w:rsidTr="00FC005E">
        <w:trPr>
          <w:trHeight w:val="255"/>
        </w:trPr>
        <w:tc>
          <w:tcPr>
            <w:tcW w:w="1560" w:type="dxa"/>
            <w:vMerge/>
            <w:shd w:val="clear" w:color="auto" w:fill="E9E8E5" w:themeFill="background2"/>
            <w:noWrap/>
            <w:tcMar>
              <w:left w:w="57" w:type="dxa"/>
              <w:right w:w="57" w:type="dxa"/>
            </w:tcMar>
            <w:hideMark/>
          </w:tcPr>
          <w:p w14:paraId="51CF10D3" w14:textId="77777777" w:rsidR="007D58A6" w:rsidRPr="00353EF0" w:rsidRDefault="007D58A6" w:rsidP="007D58A6">
            <w:pPr>
              <w:pStyle w:val="TableDataEntries"/>
              <w:jc w:val="left"/>
            </w:pPr>
          </w:p>
        </w:tc>
        <w:tc>
          <w:tcPr>
            <w:tcW w:w="1134"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FC5469F" w14:textId="77777777" w:rsidR="007D58A6" w:rsidRPr="00353EF0" w:rsidRDefault="007D58A6" w:rsidP="007D58A6">
            <w:pPr>
              <w:pStyle w:val="TableDataEntries"/>
              <w:rPr>
                <w:i/>
              </w:rPr>
            </w:pPr>
            <w:r w:rsidRPr="00353EF0">
              <w:rPr>
                <w:i/>
              </w:rPr>
              <w:t>4.0</w:t>
            </w:r>
            <w:r>
              <w:rPr>
                <w:i/>
              </w:rPr>
              <w:t xml:space="preserve"> per cent</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E32FEAE" w14:textId="76354A41" w:rsidR="007D58A6" w:rsidRPr="00353EF0" w:rsidRDefault="007D58A6" w:rsidP="007D58A6">
            <w:pPr>
              <w:pStyle w:val="TableDataEntries"/>
            </w:pPr>
            <w:r>
              <w:t>-2.7</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561268A" w14:textId="166946CF" w:rsidR="007D58A6" w:rsidRPr="00353EF0" w:rsidRDefault="007D58A6" w:rsidP="007D58A6">
            <w:pPr>
              <w:pStyle w:val="TableDataEntries"/>
            </w:pPr>
            <w:r>
              <w:t>-2.2</w:t>
            </w:r>
          </w:p>
        </w:tc>
        <w:tc>
          <w:tcPr>
            <w:tcW w:w="133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B1040FF" w14:textId="78F4E015" w:rsidR="007D58A6" w:rsidRPr="00353EF0" w:rsidRDefault="007D58A6" w:rsidP="007D58A6">
            <w:pPr>
              <w:pStyle w:val="TableDataEntries"/>
            </w:pPr>
            <w:r>
              <w:t>-2.0</w:t>
            </w:r>
          </w:p>
        </w:tc>
        <w:tc>
          <w:tcPr>
            <w:tcW w:w="1340"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99A2757" w14:textId="7EE77A08" w:rsidR="007D58A6" w:rsidRPr="00353EF0" w:rsidRDefault="007D58A6" w:rsidP="007D58A6">
            <w:pPr>
              <w:pStyle w:val="TableDataEntries"/>
            </w:pPr>
            <w:r>
              <w:t>-1.8</w:t>
            </w:r>
          </w:p>
        </w:tc>
      </w:tr>
      <w:tr w:rsidR="007D58A6" w:rsidRPr="00353EF0" w14:paraId="7D2F8224" w14:textId="77777777" w:rsidTr="00FC005E">
        <w:trPr>
          <w:trHeight w:val="255"/>
        </w:trPr>
        <w:tc>
          <w:tcPr>
            <w:tcW w:w="1560" w:type="dxa"/>
            <w:vMerge/>
            <w:tcBorders>
              <w:bottom w:val="single" w:sz="4" w:space="0" w:color="auto"/>
            </w:tcBorders>
            <w:shd w:val="clear" w:color="auto" w:fill="E9E8E5" w:themeFill="background2"/>
            <w:noWrap/>
            <w:tcMar>
              <w:left w:w="57" w:type="dxa"/>
              <w:right w:w="57" w:type="dxa"/>
            </w:tcMar>
            <w:hideMark/>
          </w:tcPr>
          <w:p w14:paraId="0D6CB8B1" w14:textId="77777777" w:rsidR="007D58A6" w:rsidRPr="00353EF0" w:rsidRDefault="007D58A6" w:rsidP="007D58A6">
            <w:pPr>
              <w:pStyle w:val="TableDataEntries"/>
              <w:jc w:val="left"/>
            </w:pPr>
          </w:p>
        </w:tc>
        <w:tc>
          <w:tcPr>
            <w:tcW w:w="1134"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1EF61EAB" w14:textId="77777777" w:rsidR="007D58A6" w:rsidRPr="00353EF0" w:rsidRDefault="007D58A6" w:rsidP="007D58A6">
            <w:pPr>
              <w:pStyle w:val="TableDataEntries"/>
              <w:rPr>
                <w:i/>
              </w:rPr>
            </w:pPr>
            <w:r>
              <w:rPr>
                <w:i/>
              </w:rPr>
              <w:t>7.0 per cent</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63033AB8" w14:textId="280FD97D" w:rsidR="007D58A6" w:rsidRPr="00353EF0" w:rsidRDefault="007D58A6" w:rsidP="007D58A6">
            <w:pPr>
              <w:pStyle w:val="TableDataEntries"/>
            </w:pPr>
            <w:r>
              <w:t>-2.0</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0DF09251" w14:textId="03CA784B" w:rsidR="007D58A6" w:rsidRPr="00353EF0" w:rsidRDefault="007D58A6" w:rsidP="007D58A6">
            <w:pPr>
              <w:pStyle w:val="TableDataEntries"/>
            </w:pPr>
            <w:r>
              <w:t>-1.7</w:t>
            </w:r>
          </w:p>
        </w:tc>
        <w:tc>
          <w:tcPr>
            <w:tcW w:w="133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6129EF5C" w14:textId="4BABBAD7" w:rsidR="007D58A6" w:rsidRPr="00353EF0" w:rsidRDefault="007D58A6" w:rsidP="007D58A6">
            <w:pPr>
              <w:pStyle w:val="TableDataEntries"/>
            </w:pPr>
            <w:r>
              <w:t>-1.5</w:t>
            </w:r>
          </w:p>
        </w:tc>
        <w:tc>
          <w:tcPr>
            <w:tcW w:w="1340"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20D096A2" w14:textId="51583C8B" w:rsidR="007D58A6" w:rsidRPr="00353EF0" w:rsidRDefault="007D58A6" w:rsidP="007D58A6">
            <w:pPr>
              <w:pStyle w:val="TableDataEntries"/>
            </w:pPr>
            <w:r>
              <w:t>-1.5</w:t>
            </w:r>
          </w:p>
        </w:tc>
      </w:tr>
    </w:tbl>
    <w:p w14:paraId="22A08F3F" w14:textId="77777777" w:rsidR="007D58A6" w:rsidRDefault="007D58A6" w:rsidP="007D58A6">
      <w:pPr>
        <w:pStyle w:val="Source"/>
      </w:pPr>
      <w:r>
        <w:rPr>
          <w:i/>
        </w:rPr>
        <w:t>Source</w:t>
      </w:r>
      <w:r w:rsidRPr="00E4232C">
        <w:rPr>
          <w:i/>
        </w:rPr>
        <w:t>:</w:t>
      </w:r>
      <w:r>
        <w:t xml:space="preserve"> The CIE</w:t>
      </w:r>
    </w:p>
    <w:p w14:paraId="402C345B" w14:textId="1B4D6B89" w:rsidR="003C3135" w:rsidRDefault="00CD75DF" w:rsidP="00CD75DF">
      <w:pPr>
        <w:pStyle w:val="Heading6"/>
        <w:rPr>
          <w:lang w:bidi="fa-IR"/>
        </w:rPr>
      </w:pPr>
      <w:bookmarkStart w:id="469" w:name="_Toc9778466"/>
      <w:r>
        <w:rPr>
          <w:lang w:bidi="fa-IR"/>
        </w:rPr>
        <w:lastRenderedPageBreak/>
        <w:t>Growth rates</w:t>
      </w:r>
      <w:bookmarkEnd w:id="469"/>
    </w:p>
    <w:p w14:paraId="06D6E3B0" w14:textId="729A87A2" w:rsidR="00614E26" w:rsidRDefault="00614E26" w:rsidP="00CD75DF">
      <w:pPr>
        <w:pStyle w:val="BodyText"/>
        <w:rPr>
          <w:lang w:bidi="fa-IR"/>
        </w:rPr>
      </w:pPr>
      <w:r>
        <w:rPr>
          <w:lang w:bidi="fa-IR"/>
        </w:rPr>
        <w:t xml:space="preserve">Table </w:t>
      </w:r>
      <w:r>
        <w:rPr>
          <w:lang w:bidi="fa-IR"/>
        </w:rPr>
        <w:fldChar w:fldCharType="begin"/>
      </w:r>
      <w:r>
        <w:rPr>
          <w:lang w:bidi="fa-IR"/>
        </w:rPr>
        <w:instrText xml:space="preserve"> REF _Caption0884 </w:instrText>
      </w:r>
      <w:r>
        <w:rPr>
          <w:lang w:bidi="fa-IR"/>
        </w:rPr>
        <w:fldChar w:fldCharType="separate"/>
      </w:r>
      <w:r w:rsidR="00ED1D13">
        <w:rPr>
          <w:noProof/>
        </w:rPr>
        <w:t>C</w:t>
      </w:r>
      <w:r w:rsidR="00ED1D13" w:rsidRPr="00695C93">
        <w:rPr>
          <w:noProof/>
        </w:rPr>
        <w:t>.</w:t>
      </w:r>
      <w:r w:rsidR="00ED1D13">
        <w:rPr>
          <w:noProof/>
        </w:rPr>
        <w:t>1</w:t>
      </w:r>
      <w:r>
        <w:rPr>
          <w:lang w:bidi="fa-IR"/>
        </w:rPr>
        <w:fldChar w:fldCharType="end"/>
      </w:r>
      <w:r>
        <w:rPr>
          <w:lang w:bidi="fa-IR"/>
        </w:rPr>
        <w:t xml:space="preserve"> shows average annual growth rates in GSI over </w:t>
      </w:r>
      <w:proofErr w:type="gramStart"/>
      <w:r>
        <w:rPr>
          <w:lang w:bidi="fa-IR"/>
        </w:rPr>
        <w:t>5 year</w:t>
      </w:r>
      <w:proofErr w:type="gramEnd"/>
      <w:r>
        <w:rPr>
          <w:lang w:bidi="fa-IR"/>
        </w:rPr>
        <w:t xml:space="preserve"> periods for different scenarios for emissions, for different cost curves. Discount rates do not affect the results because they are used to convert data into present value terms. Comparison of growth rates across scenarios is not an appropriate way to evaluate and compare scenarios.</w:t>
      </w:r>
    </w:p>
    <w:p w14:paraId="21E091A2" w14:textId="6254671A" w:rsidR="00CD75DF" w:rsidRDefault="00CD75DF" w:rsidP="00CD75DF">
      <w:pPr>
        <w:pStyle w:val="Caption"/>
      </w:pPr>
      <w:r w:rsidRPr="00695C93">
        <w:fldChar w:fldCharType="begin"/>
      </w:r>
      <w:r w:rsidRPr="00695C93">
        <w:instrText xml:space="preserve"> IF 1 = 1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C</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0</w:instrText>
      </w:r>
      <w:r w:rsidR="00187D65">
        <w:rPr>
          <w:noProof/>
        </w:rPr>
        <w:fldChar w:fldCharType="end"/>
      </w:r>
      <w:r w:rsidRPr="00695C93">
        <w:instrText xml:space="preserve"> = 0 ""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2</w:instrText>
      </w:r>
      <w:r w:rsidR="00187D65">
        <w:rPr>
          <w:noProof/>
        </w:rPr>
        <w:fldChar w:fldCharType="end"/>
      </w:r>
      <w:r w:rsidRPr="00695C93">
        <w:instrText xml:space="preserve">." </w:instrText>
      </w:r>
      <w:r w:rsidRPr="00695C93">
        <w:fldChar w:fldCharType="end"/>
      </w:r>
      <w:r w:rsidRPr="00695C93">
        <w:instrText>"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C</w:instrText>
      </w:r>
      <w:r w:rsidR="00187D65">
        <w:rPr>
          <w:noProof/>
        </w:rPr>
        <w:fldChar w:fldCharType="end"/>
      </w:r>
      <w:r w:rsidRPr="00695C93">
        <w:instrText xml:space="preserve">." </w:instrText>
      </w:r>
      <w:r w:rsidRPr="00695C93">
        <w:fldChar w:fldCharType="separate"/>
      </w:r>
      <w:r w:rsidR="00ED1D13">
        <w:rPr>
          <w:noProof/>
        </w:rPr>
        <w:instrText>C</w:instrText>
      </w:r>
      <w:r w:rsidR="00ED1D13" w:rsidRPr="00695C93">
        <w:rPr>
          <w:noProof/>
        </w:rPr>
        <w:instrText>.</w:instrText>
      </w:r>
      <w:r w:rsidRPr="00695C93">
        <w:fldChar w:fldCharType="end"/>
      </w:r>
      <w:r w:rsidRPr="00695C93">
        <w:fldChar w:fldCharType="begin"/>
      </w:r>
      <w:r w:rsidRPr="00695C93">
        <w:instrText xml:space="preserve"> SEQ Item \* ARABIC \s </w:instrText>
      </w:r>
      <w:r w:rsidRPr="00695C93">
        <w:fldChar w:fldCharType="begin"/>
      </w:r>
      <w:r w:rsidRPr="00695C93">
        <w:instrText xml:space="preserve"> IF </w:instrText>
      </w:r>
      <w:r w:rsidR="00187D65">
        <w:rPr>
          <w:noProof/>
        </w:rPr>
        <w:fldChar w:fldCharType="begin"/>
      </w:r>
      <w:r w:rsidR="00187D65">
        <w:rPr>
          <w:noProof/>
        </w:rPr>
        <w:instrText xml:space="preserve"> STYLEREF "Heading 6" \l \n </w:instrText>
      </w:r>
      <w:r w:rsidR="00187D65">
        <w:rPr>
          <w:noProof/>
        </w:rPr>
        <w:fldChar w:fldCharType="separate"/>
      </w:r>
      <w:r w:rsidR="00ED1D13">
        <w:rPr>
          <w:noProof/>
        </w:rPr>
        <w:instrText>C</w:instrText>
      </w:r>
      <w:r w:rsidR="00187D65">
        <w:rPr>
          <w:noProof/>
        </w:rPr>
        <w:fldChar w:fldCharType="end"/>
      </w:r>
      <w:r w:rsidRPr="00695C93">
        <w:instrText xml:space="preserve"> = 0 "</w:instrText>
      </w:r>
      <w:r w:rsidRPr="00695C93">
        <w:fldChar w:fldCharType="begin"/>
      </w:r>
      <w:r w:rsidRPr="00695C93">
        <w:instrText xml:space="preserve"> IF </w:instrText>
      </w:r>
      <w:r w:rsidR="00187D65">
        <w:rPr>
          <w:noProof/>
        </w:rPr>
        <w:fldChar w:fldCharType="begin"/>
      </w:r>
      <w:r w:rsidR="00187D65">
        <w:rPr>
          <w:noProof/>
        </w:rPr>
        <w:instrText xml:space="preserve"> STYLEREF "Heading 1" \l \n </w:instrText>
      </w:r>
      <w:r w:rsidR="00187D65">
        <w:rPr>
          <w:noProof/>
        </w:rPr>
        <w:fldChar w:fldCharType="separate"/>
      </w:r>
      <w:r>
        <w:rPr>
          <w:noProof/>
        </w:rPr>
        <w:instrText>0</w:instrText>
      </w:r>
      <w:r w:rsidR="00187D65">
        <w:rPr>
          <w:noProof/>
        </w:rPr>
        <w:fldChar w:fldCharType="end"/>
      </w:r>
      <w:r w:rsidRPr="00695C93">
        <w:instrText xml:space="preserve"> = 0 "" "1" </w:instrText>
      </w:r>
      <w:r w:rsidRPr="00695C93">
        <w:fldChar w:fldCharType="end"/>
      </w:r>
      <w:r w:rsidRPr="00695C93">
        <w:instrText xml:space="preserve">" "6" </w:instrText>
      </w:r>
      <w:r w:rsidRPr="00695C93">
        <w:fldChar w:fldCharType="separate"/>
      </w:r>
      <w:r w:rsidR="00ED1D13" w:rsidRPr="00695C93">
        <w:rPr>
          <w:noProof/>
        </w:rPr>
        <w:instrText>6</w:instrText>
      </w:r>
      <w:r w:rsidRPr="00695C93">
        <w:fldChar w:fldCharType="end"/>
      </w:r>
      <w:r w:rsidRPr="00695C93">
        <w:instrText xml:space="preserve"> </w:instrText>
      </w:r>
      <w:r w:rsidRPr="00695C93">
        <w:fldChar w:fldCharType="separate"/>
      </w:r>
      <w:r w:rsidR="00ED1D13">
        <w:rPr>
          <w:noProof/>
        </w:rPr>
        <w:instrText>1</w:instrText>
      </w:r>
      <w:r w:rsidRPr="00695C93">
        <w:fldChar w:fldCharType="end"/>
      </w:r>
      <w:r w:rsidRPr="00695C93">
        <w:instrText xml:space="preserve">" "" </w:instrText>
      </w:r>
      <w:r w:rsidRPr="00695C93">
        <w:fldChar w:fldCharType="separate"/>
      </w:r>
      <w:bookmarkStart w:id="470" w:name="_Caption0884"/>
      <w:bookmarkStart w:id="471" w:name="_Caption8936"/>
      <w:bookmarkStart w:id="472" w:name="_Caption9993"/>
      <w:bookmarkStart w:id="473" w:name="_Caption5538"/>
      <w:bookmarkStart w:id="474" w:name="_Caption8025"/>
      <w:bookmarkStart w:id="475" w:name="_Caption6729"/>
      <w:bookmarkStart w:id="476" w:name="_Toc9778492"/>
      <w:r w:rsidR="00ED1D13">
        <w:rPr>
          <w:noProof/>
        </w:rPr>
        <w:t>C</w:t>
      </w:r>
      <w:r w:rsidR="00ED1D13" w:rsidRPr="00695C93">
        <w:rPr>
          <w:noProof/>
        </w:rPr>
        <w:t>.</w:t>
      </w:r>
      <w:r w:rsidR="00ED1D13">
        <w:rPr>
          <w:noProof/>
        </w:rPr>
        <w:t>1</w:t>
      </w:r>
      <w:bookmarkEnd w:id="470"/>
      <w:bookmarkEnd w:id="471"/>
      <w:bookmarkEnd w:id="472"/>
      <w:bookmarkEnd w:id="473"/>
      <w:bookmarkEnd w:id="474"/>
      <w:bookmarkEnd w:id="475"/>
      <w:r w:rsidRPr="00695C93">
        <w:fldChar w:fldCharType="end"/>
      </w:r>
      <w:r w:rsidRPr="00695C93">
        <w:tab/>
      </w:r>
      <w:r w:rsidR="00513BB2">
        <w:t xml:space="preserve">Average annual growth in </w:t>
      </w:r>
      <w:r w:rsidR="005140FE">
        <w:t xml:space="preserve">Victorian </w:t>
      </w:r>
      <w:r w:rsidR="00513BB2">
        <w:t>GSI in the 5 years to the year noted</w:t>
      </w:r>
      <w:bookmarkEnd w:id="476"/>
    </w:p>
    <w:tbl>
      <w:tblPr>
        <w:tblW w:w="7940" w:type="dxa"/>
        <w:tblLayout w:type="fixed"/>
        <w:tblLook w:val="04A0" w:firstRow="1" w:lastRow="0" w:firstColumn="1" w:lastColumn="0" w:noHBand="0" w:noVBand="1"/>
      </w:tblPr>
      <w:tblGrid>
        <w:gridCol w:w="2127"/>
        <w:gridCol w:w="968"/>
        <w:gridCol w:w="969"/>
        <w:gridCol w:w="969"/>
        <w:gridCol w:w="969"/>
        <w:gridCol w:w="969"/>
        <w:gridCol w:w="969"/>
      </w:tblGrid>
      <w:tr w:rsidR="00CD75DF" w:rsidRPr="00CD75DF" w14:paraId="3DEF1FF1" w14:textId="77777777" w:rsidTr="00614E26">
        <w:trPr>
          <w:trHeight w:val="255"/>
        </w:trPr>
        <w:tc>
          <w:tcPr>
            <w:tcW w:w="2127" w:type="dxa"/>
            <w:tcBorders>
              <w:bottom w:val="single" w:sz="8" w:space="0" w:color="FFFFFF" w:themeColor="background1"/>
            </w:tcBorders>
            <w:shd w:val="clear" w:color="auto" w:fill="6F6652"/>
            <w:noWrap/>
            <w:tcMar>
              <w:left w:w="57" w:type="dxa"/>
              <w:right w:w="57" w:type="dxa"/>
            </w:tcMar>
            <w:hideMark/>
          </w:tcPr>
          <w:p w14:paraId="691F4A6F" w14:textId="77777777" w:rsidR="00CD75DF" w:rsidRPr="00CD75DF" w:rsidRDefault="00CD75DF" w:rsidP="00CD75DF">
            <w:pPr>
              <w:pStyle w:val="TableDataColumnHeading"/>
              <w:jc w:val="left"/>
            </w:pPr>
          </w:p>
        </w:tc>
        <w:tc>
          <w:tcPr>
            <w:tcW w:w="968" w:type="dxa"/>
            <w:tcBorders>
              <w:bottom w:val="single" w:sz="8" w:space="0" w:color="FFFFFF" w:themeColor="background1"/>
            </w:tcBorders>
            <w:shd w:val="clear" w:color="auto" w:fill="6F6652"/>
            <w:noWrap/>
            <w:tcMar>
              <w:left w:w="57" w:type="dxa"/>
              <w:right w:w="57" w:type="dxa"/>
            </w:tcMar>
            <w:hideMark/>
          </w:tcPr>
          <w:p w14:paraId="707778D6"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2025</w:t>
            </w:r>
          </w:p>
        </w:tc>
        <w:tc>
          <w:tcPr>
            <w:tcW w:w="969" w:type="dxa"/>
            <w:tcBorders>
              <w:bottom w:val="single" w:sz="8" w:space="0" w:color="FFFFFF" w:themeColor="background1"/>
            </w:tcBorders>
            <w:shd w:val="clear" w:color="auto" w:fill="6F6652"/>
            <w:noWrap/>
            <w:tcMar>
              <w:left w:w="57" w:type="dxa"/>
              <w:right w:w="57" w:type="dxa"/>
            </w:tcMar>
            <w:hideMark/>
          </w:tcPr>
          <w:p w14:paraId="326394E4"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2030</w:t>
            </w:r>
          </w:p>
        </w:tc>
        <w:tc>
          <w:tcPr>
            <w:tcW w:w="969" w:type="dxa"/>
            <w:tcBorders>
              <w:bottom w:val="single" w:sz="8" w:space="0" w:color="FFFFFF" w:themeColor="background1"/>
            </w:tcBorders>
            <w:shd w:val="clear" w:color="auto" w:fill="6F6652"/>
            <w:noWrap/>
            <w:tcMar>
              <w:left w:w="57" w:type="dxa"/>
              <w:right w:w="57" w:type="dxa"/>
            </w:tcMar>
            <w:hideMark/>
          </w:tcPr>
          <w:p w14:paraId="3153BF14"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2035</w:t>
            </w:r>
          </w:p>
        </w:tc>
        <w:tc>
          <w:tcPr>
            <w:tcW w:w="969" w:type="dxa"/>
            <w:tcBorders>
              <w:bottom w:val="single" w:sz="8" w:space="0" w:color="FFFFFF" w:themeColor="background1"/>
            </w:tcBorders>
            <w:shd w:val="clear" w:color="auto" w:fill="6F6652"/>
            <w:noWrap/>
            <w:tcMar>
              <w:left w:w="57" w:type="dxa"/>
              <w:right w:w="57" w:type="dxa"/>
            </w:tcMar>
            <w:hideMark/>
          </w:tcPr>
          <w:p w14:paraId="74D62A58"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2040</w:t>
            </w:r>
          </w:p>
        </w:tc>
        <w:tc>
          <w:tcPr>
            <w:tcW w:w="969" w:type="dxa"/>
            <w:tcBorders>
              <w:bottom w:val="single" w:sz="8" w:space="0" w:color="FFFFFF" w:themeColor="background1"/>
            </w:tcBorders>
            <w:shd w:val="clear" w:color="auto" w:fill="6F6652"/>
            <w:noWrap/>
            <w:tcMar>
              <w:left w:w="57" w:type="dxa"/>
              <w:right w:w="57" w:type="dxa"/>
            </w:tcMar>
            <w:hideMark/>
          </w:tcPr>
          <w:p w14:paraId="57236821"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2045</w:t>
            </w:r>
          </w:p>
        </w:tc>
        <w:tc>
          <w:tcPr>
            <w:tcW w:w="969" w:type="dxa"/>
            <w:tcBorders>
              <w:bottom w:val="single" w:sz="8" w:space="0" w:color="FFFFFF" w:themeColor="background1"/>
            </w:tcBorders>
            <w:shd w:val="clear" w:color="auto" w:fill="6F6652"/>
            <w:noWrap/>
            <w:tcMar>
              <w:left w:w="57" w:type="dxa"/>
              <w:right w:w="57" w:type="dxa"/>
            </w:tcMar>
            <w:hideMark/>
          </w:tcPr>
          <w:p w14:paraId="045EA511" w14:textId="77777777" w:rsidR="00CD75DF" w:rsidRPr="00CD75DF" w:rsidRDefault="00CD75DF" w:rsidP="00CD75DF">
            <w:pPr>
              <w:pStyle w:val="TableDataColumnHeading"/>
              <w:rPr>
                <w:rFonts w:ascii="Franklin Gothic Book" w:hAnsi="Franklin Gothic Book"/>
                <w:sz w:val="18"/>
              </w:rPr>
            </w:pPr>
            <w:r w:rsidRPr="00CD75DF">
              <w:rPr>
                <w:rFonts w:ascii="Franklin Gothic Book" w:hAnsi="Franklin Gothic Book"/>
                <w:sz w:val="18"/>
              </w:rPr>
              <w:t>2050</w:t>
            </w:r>
          </w:p>
        </w:tc>
      </w:tr>
      <w:tr w:rsidR="00CD75DF" w:rsidRPr="00CD75DF" w14:paraId="1CA8188A"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9A9452F" w14:textId="77777777" w:rsidR="00CD75DF" w:rsidRPr="00CD75DF" w:rsidRDefault="00CD75DF" w:rsidP="00CD75DF">
            <w:pPr>
              <w:pStyle w:val="TableUnit"/>
              <w:jc w:val="left"/>
            </w:pPr>
            <w:r w:rsidRPr="00CD75DF">
              <w:t>Baseline GSI</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DCFCD61" w14:textId="77777777" w:rsidR="00CD75DF" w:rsidRPr="00CD75DF" w:rsidRDefault="00CD75DF" w:rsidP="00CD75DF">
            <w:pPr>
              <w:pStyle w:val="TableUnit"/>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806C9A4" w14:textId="77777777" w:rsidR="00CD75DF" w:rsidRPr="00CD75DF" w:rsidRDefault="00CD75DF" w:rsidP="00CD75DF">
            <w:pPr>
              <w:pStyle w:val="TableUnit"/>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7729CC1" w14:textId="77777777" w:rsidR="00CD75DF" w:rsidRPr="00CD75DF" w:rsidRDefault="00CD75DF" w:rsidP="00CD75DF">
            <w:pPr>
              <w:pStyle w:val="TableUnit"/>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2F45B79" w14:textId="77777777" w:rsidR="00CD75DF" w:rsidRPr="00CD75DF" w:rsidRDefault="00CD75DF" w:rsidP="00CD75DF">
            <w:pPr>
              <w:pStyle w:val="TableUnit"/>
            </w:pPr>
            <w:r w:rsidRPr="00CD75DF">
              <w:t>2.4%</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366161C" w14:textId="77777777" w:rsidR="00CD75DF" w:rsidRPr="00CD75DF" w:rsidRDefault="00CD75DF" w:rsidP="00CD75DF">
            <w:pPr>
              <w:pStyle w:val="TableUnit"/>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E6B1240" w14:textId="77777777" w:rsidR="00CD75DF" w:rsidRPr="00CD75DF" w:rsidRDefault="00CD75DF" w:rsidP="00CD75DF">
            <w:pPr>
              <w:pStyle w:val="TableUnit"/>
            </w:pPr>
            <w:r w:rsidRPr="00CD75DF">
              <w:t>2.2%</w:t>
            </w:r>
          </w:p>
        </w:tc>
      </w:tr>
      <w:tr w:rsidR="00614E26" w:rsidRPr="00CD75DF" w14:paraId="4194399E" w14:textId="77777777" w:rsidTr="00614E26">
        <w:trPr>
          <w:trHeight w:val="255"/>
        </w:trPr>
        <w:tc>
          <w:tcPr>
            <w:tcW w:w="7940" w:type="dxa"/>
            <w:gridSpan w:val="7"/>
            <w:tcBorders>
              <w:top w:val="single" w:sz="8" w:space="0" w:color="FFFFFF" w:themeColor="background1"/>
              <w:bottom w:val="single" w:sz="8" w:space="0" w:color="FFFFFF" w:themeColor="background1"/>
            </w:tcBorders>
            <w:shd w:val="clear" w:color="auto" w:fill="C2DADB" w:themeFill="accent6" w:themeFillTint="99"/>
            <w:noWrap/>
            <w:tcMar>
              <w:left w:w="57" w:type="dxa"/>
              <w:right w:w="57" w:type="dxa"/>
            </w:tcMar>
            <w:hideMark/>
          </w:tcPr>
          <w:p w14:paraId="10525504" w14:textId="39EB77CF" w:rsidR="00614E26" w:rsidRPr="00CD75DF" w:rsidRDefault="005762DE" w:rsidP="00614E26">
            <w:pPr>
              <w:pStyle w:val="TableDataEntries"/>
              <w:jc w:val="left"/>
            </w:pPr>
            <w:r>
              <w:t>Flat cost curve</w:t>
            </w:r>
          </w:p>
        </w:tc>
      </w:tr>
      <w:tr w:rsidR="00CD75DF" w:rsidRPr="00CD75DF" w14:paraId="1DBCC27A"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E7340F5" w14:textId="77777777" w:rsidR="00CD75DF" w:rsidRPr="00CD75DF" w:rsidRDefault="00CD75DF" w:rsidP="00CD75DF">
            <w:pPr>
              <w:pStyle w:val="TableDataEntries"/>
              <w:jc w:val="left"/>
            </w:pPr>
            <w:r w:rsidRPr="00CD75DF">
              <w:t>VIC emissions (28%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68FD9AF"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79EF0F4"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78EAD6F"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7A071A4" w14:textId="77777777" w:rsidR="00CD75DF" w:rsidRPr="00CD75DF" w:rsidRDefault="00CD75DF" w:rsidP="00CD75DF">
            <w:pPr>
              <w:pStyle w:val="TableDataEntries"/>
            </w:pPr>
            <w:r w:rsidRPr="00CD75DF">
              <w:t>2.4%</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1344CCA"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E729B4D" w14:textId="77777777" w:rsidR="00CD75DF" w:rsidRPr="00CD75DF" w:rsidRDefault="00CD75DF" w:rsidP="00CD75DF">
            <w:pPr>
              <w:pStyle w:val="TableDataEntries"/>
            </w:pPr>
            <w:r w:rsidRPr="00CD75DF">
              <w:t>2.1%</w:t>
            </w:r>
          </w:p>
        </w:tc>
      </w:tr>
      <w:tr w:rsidR="00CD75DF" w:rsidRPr="00CD75DF" w14:paraId="1B2EA716"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D7D77AB" w14:textId="77777777" w:rsidR="00CD75DF" w:rsidRPr="00CD75DF" w:rsidRDefault="00CD75DF" w:rsidP="00CD75DF">
            <w:pPr>
              <w:pStyle w:val="TableDataEntries"/>
              <w:jc w:val="left"/>
            </w:pPr>
            <w:r w:rsidRPr="00CD75DF">
              <w:t>VIC emissions (45%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164C18D"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161FD64"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7429D86"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1A20BDC" w14:textId="77777777" w:rsidR="00CD75DF" w:rsidRPr="00CD75DF" w:rsidRDefault="00CD75DF" w:rsidP="00CD75DF">
            <w:pPr>
              <w:pStyle w:val="TableDataEntries"/>
            </w:pPr>
            <w:r w:rsidRPr="00CD75DF">
              <w:t>2.4%</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0ADE7FD"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AA9B26C" w14:textId="77777777" w:rsidR="00CD75DF" w:rsidRPr="00CD75DF" w:rsidRDefault="00CD75DF" w:rsidP="00CD75DF">
            <w:pPr>
              <w:pStyle w:val="TableDataEntries"/>
            </w:pPr>
            <w:r w:rsidRPr="00CD75DF">
              <w:t>2.1%</w:t>
            </w:r>
          </w:p>
        </w:tc>
      </w:tr>
      <w:tr w:rsidR="00CD75DF" w:rsidRPr="00CD75DF" w14:paraId="420CCBB9"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7CCC644" w14:textId="77777777" w:rsidR="00CD75DF" w:rsidRPr="00CD75DF" w:rsidRDefault="00CD75DF" w:rsidP="00CD75DF">
            <w:pPr>
              <w:pStyle w:val="TableDataEntries"/>
              <w:jc w:val="left"/>
            </w:pPr>
            <w:r w:rsidRPr="00CD75DF">
              <w:t>VIC emissions (55%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5DEFF49"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6F47287"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ADA8B2C"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D19E091" w14:textId="77777777" w:rsidR="00CD75DF" w:rsidRPr="00CD75DF" w:rsidRDefault="00CD75DF" w:rsidP="00CD75DF">
            <w:pPr>
              <w:pStyle w:val="TableDataEntries"/>
            </w:pPr>
            <w:r w:rsidRPr="00CD75DF">
              <w:t>2.4%</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4C8DC64"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8BBA745" w14:textId="77777777" w:rsidR="00CD75DF" w:rsidRPr="00CD75DF" w:rsidRDefault="00CD75DF" w:rsidP="00CD75DF">
            <w:pPr>
              <w:pStyle w:val="TableDataEntries"/>
            </w:pPr>
            <w:r w:rsidRPr="00CD75DF">
              <w:t>2.1%</w:t>
            </w:r>
          </w:p>
        </w:tc>
      </w:tr>
      <w:tr w:rsidR="00CD75DF" w:rsidRPr="00CD75DF" w14:paraId="17592FE9"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FF040E2" w14:textId="77777777" w:rsidR="00CD75DF" w:rsidRPr="00CD75DF" w:rsidRDefault="00CD75DF" w:rsidP="00CD75DF">
            <w:pPr>
              <w:pStyle w:val="TableDataEntries"/>
              <w:jc w:val="left"/>
            </w:pPr>
            <w:r w:rsidRPr="00CD75DF">
              <w:t>VIC emissions (65%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EF625A6"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40F1B6A"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29B5745"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C6FE0E3"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B1330BE"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A41BF6B" w14:textId="77777777" w:rsidR="00CD75DF" w:rsidRPr="00CD75DF" w:rsidRDefault="00CD75DF" w:rsidP="00CD75DF">
            <w:pPr>
              <w:pStyle w:val="TableDataEntries"/>
            </w:pPr>
            <w:r w:rsidRPr="00CD75DF">
              <w:t>2.0%</w:t>
            </w:r>
          </w:p>
        </w:tc>
      </w:tr>
      <w:tr w:rsidR="00614E26" w:rsidRPr="00CD75DF" w14:paraId="04ADF4B9" w14:textId="77777777" w:rsidTr="00614E26">
        <w:trPr>
          <w:trHeight w:val="255"/>
        </w:trPr>
        <w:tc>
          <w:tcPr>
            <w:tcW w:w="7940" w:type="dxa"/>
            <w:gridSpan w:val="7"/>
            <w:tcBorders>
              <w:top w:val="single" w:sz="8" w:space="0" w:color="FFFFFF" w:themeColor="background1"/>
              <w:bottom w:val="single" w:sz="8" w:space="0" w:color="FFFFFF" w:themeColor="background1"/>
            </w:tcBorders>
            <w:shd w:val="clear" w:color="auto" w:fill="C2DADB" w:themeFill="accent6" w:themeFillTint="99"/>
            <w:noWrap/>
            <w:tcMar>
              <w:left w:w="57" w:type="dxa"/>
              <w:right w:w="57" w:type="dxa"/>
            </w:tcMar>
            <w:hideMark/>
          </w:tcPr>
          <w:p w14:paraId="7EF47EB5" w14:textId="53FCA091" w:rsidR="00614E26" w:rsidRPr="00CD75DF" w:rsidRDefault="005762DE" w:rsidP="00614E26">
            <w:pPr>
              <w:pStyle w:val="TableDataEntries"/>
              <w:jc w:val="left"/>
            </w:pPr>
            <w:r>
              <w:t>Steep cost curve</w:t>
            </w:r>
          </w:p>
        </w:tc>
      </w:tr>
      <w:tr w:rsidR="00CD75DF" w:rsidRPr="00CD75DF" w14:paraId="7618F1AD"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0920033" w14:textId="77777777" w:rsidR="00CD75DF" w:rsidRPr="00CD75DF" w:rsidRDefault="00CD75DF" w:rsidP="00CD75DF">
            <w:pPr>
              <w:pStyle w:val="TableDataEntries"/>
              <w:jc w:val="left"/>
            </w:pPr>
            <w:r w:rsidRPr="00CD75DF">
              <w:t>VIC emissions (28%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C1E77B3"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7E2D954"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4B85A69" w14:textId="77777777" w:rsidR="00CD75DF" w:rsidRPr="00CD75DF" w:rsidRDefault="00CD75DF" w:rsidP="00CD75DF">
            <w:pPr>
              <w:pStyle w:val="TableDataEntries"/>
            </w:pPr>
            <w:r w:rsidRPr="00CD75DF">
              <w:t>2.2%</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F714164" w14:textId="77777777" w:rsidR="00CD75DF" w:rsidRPr="00CD75DF" w:rsidRDefault="00CD75DF" w:rsidP="00CD75DF">
            <w:pPr>
              <w:pStyle w:val="TableDataEntries"/>
            </w:pPr>
            <w:r w:rsidRPr="00CD75DF">
              <w:t>1.8%</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6E66B99" w14:textId="77777777" w:rsidR="00CD75DF" w:rsidRPr="00CD75DF" w:rsidRDefault="00CD75DF" w:rsidP="00CD75DF">
            <w:pPr>
              <w:pStyle w:val="TableDataEntries"/>
            </w:pPr>
            <w:r w:rsidRPr="00CD75DF">
              <w:t>1.8%</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0BAB75A" w14:textId="77777777" w:rsidR="00CD75DF" w:rsidRPr="00CD75DF" w:rsidRDefault="00CD75DF" w:rsidP="00CD75DF">
            <w:pPr>
              <w:pStyle w:val="TableDataEntries"/>
            </w:pPr>
            <w:r w:rsidRPr="00CD75DF">
              <w:t>1.8%</w:t>
            </w:r>
          </w:p>
        </w:tc>
      </w:tr>
      <w:tr w:rsidR="00CD75DF" w:rsidRPr="00CD75DF" w14:paraId="62D7DAE0"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5FC6EF6" w14:textId="77777777" w:rsidR="00CD75DF" w:rsidRPr="00CD75DF" w:rsidRDefault="00CD75DF" w:rsidP="00CD75DF">
            <w:pPr>
              <w:pStyle w:val="TableDataEntries"/>
              <w:jc w:val="left"/>
            </w:pPr>
            <w:r w:rsidRPr="00CD75DF">
              <w:t>VIC emissions (45%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3039A99C"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F2CA222" w14:textId="77777777" w:rsidR="00CD75DF" w:rsidRPr="00CD75DF" w:rsidRDefault="00CD75DF" w:rsidP="00CD75DF">
            <w:pPr>
              <w:pStyle w:val="TableDataEntries"/>
            </w:pPr>
            <w:r w:rsidRPr="00CD75DF">
              <w:t>2.4%</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E54D1BC"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6FEFBE6" w14:textId="77777777" w:rsidR="00CD75DF" w:rsidRPr="00CD75DF" w:rsidRDefault="00CD75DF" w:rsidP="00CD75DF">
            <w:pPr>
              <w:pStyle w:val="TableDataEntries"/>
            </w:pPr>
            <w:r w:rsidRPr="00CD75DF">
              <w:t>2.1%</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2F12A842" w14:textId="77777777" w:rsidR="00CD75DF" w:rsidRPr="00CD75DF" w:rsidRDefault="00CD75DF" w:rsidP="00CD75DF">
            <w:pPr>
              <w:pStyle w:val="TableDataEntries"/>
            </w:pPr>
            <w:r w:rsidRPr="00CD75DF">
              <w:t>1.7%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79CDAFA2" w14:textId="77777777" w:rsidR="00CD75DF" w:rsidRPr="00CD75DF" w:rsidRDefault="00CD75DF" w:rsidP="00CD75DF">
            <w:pPr>
              <w:pStyle w:val="TableDataEntries"/>
            </w:pPr>
            <w:r w:rsidRPr="00CD75DF">
              <w:t>1.5%</w:t>
            </w:r>
          </w:p>
        </w:tc>
      </w:tr>
      <w:tr w:rsidR="00CD75DF" w:rsidRPr="00CD75DF" w14:paraId="535DDFE0" w14:textId="77777777" w:rsidTr="00614E26">
        <w:trPr>
          <w:trHeight w:val="255"/>
        </w:trPr>
        <w:tc>
          <w:tcPr>
            <w:tcW w:w="2127"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DF4BB7D" w14:textId="77777777" w:rsidR="00CD75DF" w:rsidRPr="00CD75DF" w:rsidRDefault="00CD75DF" w:rsidP="00CD75DF">
            <w:pPr>
              <w:pStyle w:val="TableDataEntries"/>
              <w:jc w:val="left"/>
            </w:pPr>
            <w:r w:rsidRPr="00CD75DF">
              <w:t>VIC emissions (55% 2030)</w:t>
            </w:r>
          </w:p>
        </w:tc>
        <w:tc>
          <w:tcPr>
            <w:tcW w:w="968"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0C96469" w14:textId="77777777" w:rsidR="00CD75DF" w:rsidRPr="00CD75DF" w:rsidRDefault="00CD75DF" w:rsidP="00CD75DF">
            <w:pPr>
              <w:pStyle w:val="TableDataEntries"/>
            </w:pPr>
            <w:r w:rsidRPr="00CD75DF">
              <w:t>2.6%</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491DB3E3"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138AD799" w14:textId="77777777" w:rsidR="00CD75DF" w:rsidRPr="00CD75DF" w:rsidRDefault="00CD75DF" w:rsidP="00CD75DF">
            <w:pPr>
              <w:pStyle w:val="TableDataEntries"/>
            </w:pPr>
            <w:r w:rsidRPr="00CD75DF">
              <w:t>2.7%</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507DB623" w14:textId="77777777" w:rsidR="00CD75DF" w:rsidRPr="00CD75DF" w:rsidRDefault="00CD75DF" w:rsidP="00CD75DF">
            <w:pPr>
              <w:pStyle w:val="TableDataEntries"/>
            </w:pPr>
            <w:r w:rsidRPr="00CD75DF">
              <w:t>2.3%</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01C14758" w14:textId="77777777" w:rsidR="00CD75DF" w:rsidRPr="00CD75DF" w:rsidRDefault="00CD75DF" w:rsidP="00CD75DF">
            <w:pPr>
              <w:pStyle w:val="TableDataEntries"/>
            </w:pPr>
            <w:r w:rsidRPr="00CD75DF">
              <w:t>1.8%</w:t>
            </w:r>
          </w:p>
        </w:tc>
        <w:tc>
          <w:tcPr>
            <w:tcW w:w="969" w:type="dxa"/>
            <w:tcBorders>
              <w:top w:val="single" w:sz="8" w:space="0" w:color="FFFFFF" w:themeColor="background1"/>
              <w:bottom w:val="single" w:sz="8" w:space="0" w:color="FFFFFF" w:themeColor="background1"/>
            </w:tcBorders>
            <w:shd w:val="clear" w:color="auto" w:fill="E9E8E5" w:themeFill="background2"/>
            <w:noWrap/>
            <w:tcMar>
              <w:left w:w="57" w:type="dxa"/>
              <w:right w:w="57" w:type="dxa"/>
            </w:tcMar>
            <w:hideMark/>
          </w:tcPr>
          <w:p w14:paraId="6EDA9A49" w14:textId="77777777" w:rsidR="00CD75DF" w:rsidRPr="00CD75DF" w:rsidRDefault="00CD75DF" w:rsidP="00CD75DF">
            <w:pPr>
              <w:pStyle w:val="TableDataEntries"/>
            </w:pPr>
            <w:r w:rsidRPr="00CD75DF">
              <w:t>1.2%</w:t>
            </w:r>
          </w:p>
        </w:tc>
      </w:tr>
      <w:tr w:rsidR="00CD75DF" w:rsidRPr="00CD75DF" w14:paraId="20FC1FBD" w14:textId="77777777" w:rsidTr="00614E26">
        <w:trPr>
          <w:trHeight w:val="255"/>
        </w:trPr>
        <w:tc>
          <w:tcPr>
            <w:tcW w:w="2127"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536280CC" w14:textId="77777777" w:rsidR="00CD75DF" w:rsidRPr="00CD75DF" w:rsidRDefault="00CD75DF" w:rsidP="00CD75DF">
            <w:pPr>
              <w:pStyle w:val="TableDataEntries"/>
              <w:jc w:val="left"/>
            </w:pPr>
            <w:r w:rsidRPr="00CD75DF">
              <w:t>VIC emissions (65% 2030)</w:t>
            </w:r>
          </w:p>
        </w:tc>
        <w:tc>
          <w:tcPr>
            <w:tcW w:w="968"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04F3E595"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1BBB45F2" w14:textId="77777777" w:rsidR="00CD75DF" w:rsidRPr="00CD75DF" w:rsidRDefault="00CD75DF" w:rsidP="00CD75DF">
            <w:pPr>
              <w:pStyle w:val="TableDataEntries"/>
            </w:pPr>
            <w:r w:rsidRPr="00CD75DF">
              <w:t>2.1%</w:t>
            </w:r>
          </w:p>
        </w:tc>
        <w:tc>
          <w:tcPr>
            <w:tcW w:w="96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7A770CF5" w14:textId="77777777" w:rsidR="00CD75DF" w:rsidRPr="00CD75DF" w:rsidRDefault="00CD75DF" w:rsidP="00CD75DF">
            <w:pPr>
              <w:pStyle w:val="TableDataEntries"/>
            </w:pPr>
            <w:r w:rsidRPr="00CD75DF">
              <w:t>2.8%</w:t>
            </w:r>
          </w:p>
        </w:tc>
        <w:tc>
          <w:tcPr>
            <w:tcW w:w="96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44390E1C" w14:textId="77777777" w:rsidR="00CD75DF" w:rsidRPr="00CD75DF" w:rsidRDefault="00CD75DF" w:rsidP="00CD75DF">
            <w:pPr>
              <w:pStyle w:val="TableDataEntries"/>
            </w:pPr>
            <w:r w:rsidRPr="00CD75DF">
              <w:t>2.5%</w:t>
            </w:r>
          </w:p>
        </w:tc>
        <w:tc>
          <w:tcPr>
            <w:tcW w:w="96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5BDF32CB" w14:textId="77777777" w:rsidR="00CD75DF" w:rsidRPr="00CD75DF" w:rsidRDefault="00CD75DF" w:rsidP="00CD75DF">
            <w:pPr>
              <w:pStyle w:val="TableDataEntries"/>
            </w:pPr>
            <w:r w:rsidRPr="00CD75DF">
              <w:t>2.2%</w:t>
            </w:r>
          </w:p>
        </w:tc>
        <w:tc>
          <w:tcPr>
            <w:tcW w:w="969" w:type="dxa"/>
            <w:tcBorders>
              <w:top w:val="single" w:sz="8" w:space="0" w:color="FFFFFF" w:themeColor="background1"/>
              <w:bottom w:val="single" w:sz="6" w:space="0" w:color="6F6652"/>
            </w:tcBorders>
            <w:shd w:val="clear" w:color="auto" w:fill="E9E8E5" w:themeFill="background2"/>
            <w:noWrap/>
            <w:tcMar>
              <w:left w:w="57" w:type="dxa"/>
              <w:right w:w="57" w:type="dxa"/>
            </w:tcMar>
            <w:hideMark/>
          </w:tcPr>
          <w:p w14:paraId="1CAC81CC" w14:textId="77777777" w:rsidR="00CD75DF" w:rsidRPr="00CD75DF" w:rsidRDefault="00CD75DF" w:rsidP="00CD75DF">
            <w:pPr>
              <w:pStyle w:val="TableDataEntries"/>
            </w:pPr>
            <w:r w:rsidRPr="00CD75DF">
              <w:t>0.7%</w:t>
            </w:r>
          </w:p>
        </w:tc>
      </w:tr>
    </w:tbl>
    <w:p w14:paraId="5D8F3126" w14:textId="3DA92B24" w:rsidR="00CD75DF" w:rsidRDefault="00CD75DF" w:rsidP="00CD75DF">
      <w:pPr>
        <w:pStyle w:val="Source"/>
        <w:rPr>
          <w:lang w:bidi="fa-IR"/>
        </w:rPr>
      </w:pPr>
      <w:r w:rsidRPr="00CD75DF">
        <w:rPr>
          <w:i/>
          <w:lang w:bidi="fa-IR"/>
        </w:rPr>
        <w:t>Source:</w:t>
      </w:r>
      <w:r>
        <w:rPr>
          <w:lang w:bidi="fa-IR"/>
        </w:rPr>
        <w:t xml:space="preserve"> </w:t>
      </w:r>
      <w:r w:rsidR="00614E26">
        <w:rPr>
          <w:lang w:bidi="fa-IR"/>
        </w:rPr>
        <w:t>The CIE</w:t>
      </w:r>
    </w:p>
    <w:p w14:paraId="4BB743C3" w14:textId="24635C73" w:rsidR="00CD75DF" w:rsidRDefault="00CD75DF" w:rsidP="00CD75DF">
      <w:pPr>
        <w:pStyle w:val="BodyText"/>
        <w:rPr>
          <w:lang w:bidi="fa-IR"/>
        </w:rPr>
      </w:pPr>
    </w:p>
    <w:p w14:paraId="12DE7F5F" w14:textId="4B0C7FE7" w:rsidR="003C78A6" w:rsidRDefault="003C78A6" w:rsidP="00CD75DF">
      <w:pPr>
        <w:pStyle w:val="BodyText"/>
        <w:rPr>
          <w:lang w:bidi="fa-IR"/>
        </w:rPr>
      </w:pPr>
    </w:p>
    <w:p w14:paraId="75747AA4" w14:textId="77777777" w:rsidR="00D63B57" w:rsidRDefault="00D63B57" w:rsidP="00CD75DF">
      <w:pPr>
        <w:pStyle w:val="BodyText"/>
        <w:rPr>
          <w:lang w:bidi="fa-IR"/>
        </w:rPr>
        <w:sectPr w:rsidR="00D63B57" w:rsidSect="00384703">
          <w:headerReference w:type="even" r:id="rId37"/>
          <w:headerReference w:type="default" r:id="rId38"/>
          <w:footerReference w:type="even" r:id="rId39"/>
          <w:footerReference w:type="default" r:id="rId40"/>
          <w:type w:val="oddPage"/>
          <w:pgSz w:w="11906" w:h="16838" w:code="9"/>
          <w:pgMar w:top="2268" w:right="1701" w:bottom="1418" w:left="2268" w:header="680" w:footer="680" w:gutter="0"/>
          <w:pgNumType w:start="1"/>
          <w:cols w:space="708"/>
          <w:docGrid w:linePitch="360"/>
        </w:sectPr>
      </w:pPr>
    </w:p>
    <w:tbl>
      <w:tblPr>
        <w:tblStyle w:val="LayoutGrid"/>
        <w:tblW w:w="0" w:type="auto"/>
        <w:tblLook w:val="04A0" w:firstRow="1" w:lastRow="0" w:firstColumn="1" w:lastColumn="0" w:noHBand="0" w:noVBand="1"/>
      </w:tblPr>
      <w:tblGrid>
        <w:gridCol w:w="7927"/>
      </w:tblGrid>
      <w:tr w:rsidR="00D63B57" w14:paraId="2FDD26EF" w14:textId="77777777" w:rsidTr="00C27F27">
        <w:trPr>
          <w:trHeight w:val="8941"/>
        </w:trPr>
        <w:tc>
          <w:tcPr>
            <w:tcW w:w="7927" w:type="dxa"/>
          </w:tcPr>
          <w:p w14:paraId="1405716D" w14:textId="77777777" w:rsidR="00D63B57" w:rsidRDefault="00D63B57" w:rsidP="00C27F27">
            <w:pPr>
              <w:rPr>
                <w:lang w:bidi="fa-IR"/>
              </w:rPr>
            </w:pPr>
          </w:p>
        </w:tc>
      </w:tr>
      <w:tr w:rsidR="00D63B57" w14:paraId="0EF2433D" w14:textId="77777777" w:rsidTr="00C27F27">
        <w:tc>
          <w:tcPr>
            <w:tcW w:w="7927" w:type="dxa"/>
          </w:tcPr>
          <w:p w14:paraId="522B6B7A" w14:textId="77777777" w:rsidR="00D63B57" w:rsidRPr="003E1F01" w:rsidRDefault="00D63B57" w:rsidP="00C27F27">
            <w:pPr>
              <w:pStyle w:val="BodyText"/>
              <w:spacing w:before="0"/>
              <w:rPr>
                <w:rFonts w:ascii="Franklin Gothic Demi" w:hAnsi="Franklin Gothic Demi"/>
                <w:caps/>
                <w:spacing w:val="10"/>
                <w:sz w:val="18"/>
              </w:rPr>
            </w:pPr>
            <w:r w:rsidRPr="003E1F01">
              <w:rPr>
                <w:rFonts w:ascii="Franklin Gothic Demi" w:hAnsi="Franklin Gothic Demi"/>
                <w:caps/>
                <w:spacing w:val="10"/>
                <w:sz w:val="18"/>
              </w:rPr>
              <w:t>The Centre for International Economics</w:t>
            </w:r>
          </w:p>
          <w:p w14:paraId="66C6FA30" w14:textId="77777777" w:rsidR="00D63B57" w:rsidRPr="003E1F01" w:rsidRDefault="00D63B57" w:rsidP="00C27F27">
            <w:pPr>
              <w:pStyle w:val="BodyText"/>
              <w:spacing w:before="0"/>
              <w:rPr>
                <w:i/>
                <w:sz w:val="22"/>
              </w:rPr>
            </w:pPr>
            <w:r w:rsidRPr="003E1F01">
              <w:rPr>
                <w:i/>
                <w:sz w:val="22"/>
              </w:rPr>
              <w:t>www.TheCIE.com.au</w:t>
            </w:r>
          </w:p>
          <w:p w14:paraId="7A78FF97" w14:textId="77777777" w:rsidR="00D63B57" w:rsidRDefault="00D63B57" w:rsidP="00C27F27">
            <w:pPr>
              <w:rPr>
                <w:lang w:bidi="fa-IR"/>
              </w:rPr>
            </w:pPr>
          </w:p>
        </w:tc>
      </w:tr>
    </w:tbl>
    <w:p w14:paraId="7F0A268A" w14:textId="77777777" w:rsidR="00D63B57" w:rsidRDefault="00D63B57" w:rsidP="00C27F27">
      <w:pPr>
        <w:rPr>
          <w:lang w:bidi="fa-IR"/>
        </w:rPr>
      </w:pPr>
      <w:r>
        <w:rPr>
          <w:noProof/>
        </w:rPr>
        <w:drawing>
          <wp:anchor distT="0" distB="0" distL="114300" distR="114300" simplePos="0" relativeHeight="251665408" behindDoc="1" locked="1" layoutInCell="0" allowOverlap="1" wp14:anchorId="437582DB" wp14:editId="0E29D5D1">
            <wp:simplePos x="0" y="0"/>
            <wp:positionH relativeFrom="page">
              <wp:posOffset>0</wp:posOffset>
            </wp:positionH>
            <wp:positionV relativeFrom="page">
              <wp:posOffset>0</wp:posOffset>
            </wp:positionV>
            <wp:extent cx="7560000" cy="106920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ients\CIE, New templates\Logo &amp; cover options\Final artwork\report cover graphics\backcover_600dpi.png"/>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39177" w14:textId="7587CA9A" w:rsidR="00D63B57" w:rsidRPr="00CD75DF" w:rsidRDefault="00D63B57" w:rsidP="00CD75DF">
      <w:pPr>
        <w:pStyle w:val="BodyText"/>
        <w:rPr>
          <w:lang w:bidi="fa-IR"/>
        </w:rPr>
      </w:pPr>
    </w:p>
    <w:sectPr w:rsidR="00D63B57" w:rsidRPr="00CD75DF" w:rsidSect="00D63B57">
      <w:type w:val="evenPage"/>
      <w:pgSz w:w="11906" w:h="16838" w:code="9"/>
      <w:pgMar w:top="2268" w:right="1701" w:bottom="1418" w:left="226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E30A" w14:textId="77777777" w:rsidR="00727E69" w:rsidRDefault="00727E69" w:rsidP="00996DC5">
      <w:pPr>
        <w:spacing w:line="240" w:lineRule="auto"/>
      </w:pPr>
      <w:r>
        <w:separator/>
      </w:r>
    </w:p>
  </w:endnote>
  <w:endnote w:type="continuationSeparator" w:id="0">
    <w:p w14:paraId="7608CF74" w14:textId="77777777" w:rsidR="00727E69" w:rsidRDefault="00727E69" w:rsidP="0099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E10D" w14:textId="77777777" w:rsidR="00AD5769" w:rsidRDefault="00AD5769">
    <w:pPr>
      <w:pStyle w:val="Footer"/>
    </w:pPr>
    <w:r>
      <w:t>www.TheCIE.com.au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14D2" w14:textId="77777777" w:rsidR="00AD5769" w:rsidRPr="005B1FD7" w:rsidRDefault="00AD5769" w:rsidP="005B1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9797" w14:textId="77777777" w:rsidR="00AD5769" w:rsidRDefault="00AD5769" w:rsidP="007C4C46">
    <w:pPr>
      <w:pStyle w:val="Footer"/>
      <w:jc w:val="right"/>
    </w:pPr>
    <w:r>
      <w:t>www.TheCIE.com.au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A38D" w14:textId="77777777" w:rsidR="00AD5769" w:rsidRDefault="00AD5769">
    <w:pPr>
      <w:pStyle w:val="Footer"/>
    </w:pPr>
    <w:r>
      <w:t>www.TheCIE.com.au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EB42" w14:textId="77777777" w:rsidR="00AD5769" w:rsidRDefault="00AD5769" w:rsidP="004E7620">
    <w:pPr>
      <w:pStyle w:val="Footer"/>
      <w:jc w:val="right"/>
    </w:pPr>
    <w:r>
      <w:t>www.TheCIE.com.au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4358" w14:textId="77777777" w:rsidR="00AD5769" w:rsidRDefault="00AD5769">
    <w:pPr>
      <w:pStyle w:val="Footer"/>
    </w:pPr>
    <w:r>
      <w:t>www.TheCIE.com.au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7AC1" w14:textId="77777777" w:rsidR="00AD5769" w:rsidRDefault="00AD5769" w:rsidP="007C4C46">
    <w:pPr>
      <w:pStyle w:val="Footer"/>
      <w:jc w:val="right"/>
    </w:pPr>
    <w:r>
      <w:t>www.TheCIE.com.au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3C8D" w14:textId="77777777" w:rsidR="00727E69" w:rsidRDefault="00727E69" w:rsidP="00996DC5">
      <w:pPr>
        <w:spacing w:line="240" w:lineRule="auto"/>
      </w:pPr>
      <w:r w:rsidRPr="00B75719">
        <w:rPr>
          <w:color w:val="6F6652" w:themeColor="text2"/>
        </w:rPr>
        <w:separator/>
      </w:r>
    </w:p>
  </w:footnote>
  <w:footnote w:type="continuationSeparator" w:id="0">
    <w:p w14:paraId="1CC45709" w14:textId="77777777" w:rsidR="00727E69" w:rsidRDefault="00727E69" w:rsidP="00996DC5">
      <w:pPr>
        <w:spacing w:line="240" w:lineRule="auto"/>
      </w:pPr>
      <w:r>
        <w:continuationSeparator/>
      </w:r>
    </w:p>
  </w:footnote>
  <w:footnote w:id="1">
    <w:p w14:paraId="39CDC48E" w14:textId="77777777" w:rsidR="00AD5769" w:rsidRDefault="00AD5769" w:rsidP="007E12FD">
      <w:pPr>
        <w:pStyle w:val="FootnoteText"/>
      </w:pPr>
      <w:r>
        <w:rPr>
          <w:rStyle w:val="FootnoteReference"/>
        </w:rPr>
        <w:footnoteRef/>
      </w:r>
      <w:r>
        <w:t xml:space="preserve"> </w:t>
      </w:r>
      <w:r>
        <w:tab/>
        <w:t xml:space="preserve">See: </w:t>
      </w:r>
      <w:hyperlink r:id="rId1" w:history="1">
        <w:r w:rsidRPr="0086777A">
          <w:rPr>
            <w:rStyle w:val="Hyperlink"/>
          </w:rPr>
          <w:t>https://www.climatechange.vic.gov.au/reducing-emissions/interim-targets</w:t>
        </w:r>
      </w:hyperlink>
      <w:r>
        <w:t xml:space="preserve"> (accessed 14 May 2018)</w:t>
      </w:r>
    </w:p>
  </w:footnote>
  <w:footnote w:id="2">
    <w:p w14:paraId="4E27E8E8" w14:textId="0ED5D7ED" w:rsidR="00AD5769" w:rsidRDefault="00AD5769">
      <w:pPr>
        <w:pStyle w:val="FootnoteText"/>
      </w:pPr>
      <w:r>
        <w:rPr>
          <w:rStyle w:val="FootnoteReference"/>
        </w:rPr>
        <w:footnoteRef/>
      </w:r>
      <w:r>
        <w:t xml:space="preserve"> </w:t>
      </w:r>
      <w:r>
        <w:tab/>
        <w:t xml:space="preserve">In climate change analysis, the term ‘net’ emissions </w:t>
      </w:r>
      <w:proofErr w:type="gramStart"/>
      <w:r>
        <w:t>is</w:t>
      </w:r>
      <w:proofErr w:type="gramEnd"/>
      <w:r>
        <w:t xml:space="preserve"> used as ‘gross emissions’ (from transport, industry, electricity generation, etc.) can be offset by sequestration and/or afforestation.</w:t>
      </w:r>
    </w:p>
  </w:footnote>
  <w:footnote w:id="3">
    <w:p w14:paraId="1D55E6CE" w14:textId="67F3FA47" w:rsidR="00AD5769" w:rsidRDefault="00AD5769">
      <w:pPr>
        <w:pStyle w:val="FootnoteText"/>
      </w:pPr>
      <w:r>
        <w:rPr>
          <w:rStyle w:val="FootnoteReference"/>
        </w:rPr>
        <w:footnoteRef/>
      </w:r>
      <w:r>
        <w:t xml:space="preserve"> </w:t>
      </w:r>
      <w:r>
        <w:tab/>
        <w:t>A 5</w:t>
      </w:r>
      <w:r w:rsidRPr="00180F64">
        <w:rPr>
          <w:vertAlign w:val="superscript"/>
        </w:rPr>
        <w:t>th</w:t>
      </w:r>
      <w:r>
        <w:t xml:space="preserve"> path was provided but we do not consider this as it does not meet the dual criteria.</w:t>
      </w:r>
    </w:p>
  </w:footnote>
  <w:footnote w:id="4">
    <w:p w14:paraId="0B4B2FB4" w14:textId="678B04D1" w:rsidR="00AD5769" w:rsidRDefault="00AD5769">
      <w:pPr>
        <w:pStyle w:val="FootnoteText"/>
      </w:pPr>
      <w:r>
        <w:rPr>
          <w:rStyle w:val="FootnoteReference"/>
        </w:rPr>
        <w:footnoteRef/>
      </w:r>
      <w:r>
        <w:t xml:space="preserve"> </w:t>
      </w:r>
      <w:r>
        <w:tab/>
      </w:r>
      <w:proofErr w:type="gramStart"/>
      <w:r>
        <w:t>In particular, this</w:t>
      </w:r>
      <w:proofErr w:type="gramEnd"/>
      <w:r>
        <w:t xml:space="preserve"> baseline includes retention of the ERF, the RET of 33,000 GWh by 2030, and the state based Victorian Energy Efficiency Target (VEET). It also assumes a moderate strengthening of national policy action to reflect Australia’s agreement global action to avoid 2 degrees of warming.</w:t>
      </w:r>
    </w:p>
  </w:footnote>
  <w:footnote w:id="5">
    <w:p w14:paraId="7A3A910C" w14:textId="77777777" w:rsidR="00AD5769" w:rsidRDefault="00AD5769" w:rsidP="00E02BC8">
      <w:pPr>
        <w:pStyle w:val="FootnoteText"/>
      </w:pPr>
      <w:r>
        <w:rPr>
          <w:rStyle w:val="FootnoteReference"/>
        </w:rPr>
        <w:footnoteRef/>
      </w:r>
      <w:r>
        <w:t xml:space="preserve"> </w:t>
      </w:r>
      <w:r>
        <w:tab/>
        <w:t>We provide more specific information on how we have used these studies, including the scenarios used, in Appendix A.</w:t>
      </w:r>
    </w:p>
  </w:footnote>
  <w:footnote w:id="6">
    <w:p w14:paraId="367873FD" w14:textId="1DD2FF6E" w:rsidR="00AD5769" w:rsidRDefault="00AD5769" w:rsidP="00B87FC6">
      <w:pPr>
        <w:pStyle w:val="Reference"/>
      </w:pPr>
      <w:r>
        <w:rPr>
          <w:rStyle w:val="FootnoteReference"/>
        </w:rPr>
        <w:footnoteRef/>
      </w:r>
      <w:r>
        <w:t xml:space="preserve"> </w:t>
      </w:r>
      <w:r>
        <w:tab/>
        <w:t>The academic reviewer provided the following reasons for this view: ‘</w:t>
      </w:r>
      <w:r w:rsidRPr="00B87FC6">
        <w:rPr>
          <w:lang w:val="en-US"/>
        </w:rPr>
        <w:t>When discounting future GSP (as distinct from project-based costs/benefits), there is no solid economic/ethical case for using “high” discount rates</w:t>
      </w:r>
      <w:r>
        <w:rPr>
          <w:lang w:val="en-US"/>
        </w:rPr>
        <w:t>’ and ‘d</w:t>
      </w:r>
      <w:r w:rsidRPr="00B87FC6">
        <w:rPr>
          <w:lang w:val="en-US"/>
        </w:rPr>
        <w:t xml:space="preserve">iscounting future societal welfare (here proxied by GSP) has ethical justification only </w:t>
      </w:r>
      <w:proofErr w:type="gramStart"/>
      <w:r w:rsidRPr="00B87FC6">
        <w:rPr>
          <w:lang w:val="en-US"/>
        </w:rPr>
        <w:t>on account of</w:t>
      </w:r>
      <w:proofErr w:type="gramEnd"/>
      <w:r w:rsidRPr="00B87FC6">
        <w:rPr>
          <w:lang w:val="en-US"/>
        </w:rPr>
        <w:t xml:space="preserve"> expected future growth in real per capita income</w:t>
      </w:r>
      <w:r>
        <w:rPr>
          <w:lang w:val="en-US"/>
        </w:rPr>
        <w:t>’</w:t>
      </w:r>
    </w:p>
  </w:footnote>
  <w:footnote w:id="7">
    <w:p w14:paraId="66DD82E7" w14:textId="51050378" w:rsidR="00AD5769" w:rsidRDefault="00AD5769">
      <w:pPr>
        <w:pStyle w:val="FootnoteText"/>
      </w:pPr>
      <w:r>
        <w:rPr>
          <w:rStyle w:val="FootnoteReference"/>
        </w:rPr>
        <w:footnoteRef/>
      </w:r>
      <w:r>
        <w:t xml:space="preserve"> </w:t>
      </w:r>
      <w:r>
        <w:tab/>
      </w:r>
      <w:proofErr w:type="spellStart"/>
      <w:r>
        <w:t>ClimateWorks</w:t>
      </w:r>
      <w:proofErr w:type="spellEnd"/>
      <w:r>
        <w:t xml:space="preserve"> 2010, </w:t>
      </w:r>
      <w:r w:rsidRPr="004E080F">
        <w:rPr>
          <w:i/>
        </w:rPr>
        <w:t>Low Carbon Growth Plan for Australia</w:t>
      </w:r>
      <w:r>
        <w:t xml:space="preserve"> (accessed here: </w:t>
      </w:r>
      <w:hyperlink r:id="rId2" w:history="1">
        <w:r w:rsidRPr="00E73484">
          <w:rPr>
            <w:rStyle w:val="Hyperlink"/>
          </w:rPr>
          <w:t>https://climateworks.com.au/project/national-projects/low-carbon-growth-plan-australia</w:t>
        </w:r>
      </w:hyperlink>
      <w:r>
        <w:t xml:space="preserve">) </w:t>
      </w:r>
    </w:p>
  </w:footnote>
  <w:footnote w:id="8">
    <w:p w14:paraId="2EF1D38E" w14:textId="3EC35188" w:rsidR="00AD5769" w:rsidRPr="00034273" w:rsidRDefault="00AD5769">
      <w:pPr>
        <w:pStyle w:val="FootnoteText"/>
      </w:pPr>
      <w:r>
        <w:rPr>
          <w:rStyle w:val="FootnoteReference"/>
        </w:rPr>
        <w:footnoteRef/>
      </w:r>
      <w:r>
        <w:t xml:space="preserve"> </w:t>
      </w:r>
      <w:r>
        <w:tab/>
        <w:t xml:space="preserve">Treasury 2011, </w:t>
      </w:r>
      <w:r>
        <w:rPr>
          <w:i/>
        </w:rPr>
        <w:t>Strong growth low pollution</w:t>
      </w:r>
      <w:r>
        <w:t xml:space="preserve"> 2011 </w:t>
      </w:r>
      <w:proofErr w:type="spellStart"/>
      <w:r>
        <w:t>pg</w:t>
      </w:r>
      <w:proofErr w:type="spellEnd"/>
      <w:r>
        <w:t xml:space="preserve"> 104</w:t>
      </w:r>
    </w:p>
  </w:footnote>
  <w:footnote w:id="9">
    <w:p w14:paraId="03EF294F" w14:textId="77777777" w:rsidR="00AD5769" w:rsidRDefault="00AD5769" w:rsidP="00581B16">
      <w:pPr>
        <w:pStyle w:val="FootnoteText"/>
      </w:pPr>
      <w:r>
        <w:rPr>
          <w:rStyle w:val="FootnoteReference"/>
        </w:rPr>
        <w:footnoteRef/>
      </w:r>
      <w:r>
        <w:t xml:space="preserve"> </w:t>
      </w:r>
      <w:r>
        <w:tab/>
        <w:t xml:space="preserve">Treasury &amp; DIICSTRE 2013 </w:t>
      </w:r>
      <w:proofErr w:type="spellStart"/>
      <w:r>
        <w:t>pg</w:t>
      </w:r>
      <w:proofErr w:type="spellEnd"/>
      <w: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CA27" w14:textId="77777777" w:rsidR="00AD5769" w:rsidRPr="009D4FBD" w:rsidRDefault="00AD5769" w:rsidP="00677846">
    <w:pPr>
      <w:pStyle w:val="Header"/>
      <w:ind w:left="0"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1907" w:type="dxa"/>
      <w:tblBorders>
        <w:bottom w:val="single" w:sz="4" w:space="0" w:color="F61D12" w:themeColor="accent2"/>
      </w:tblBorders>
      <w:tblLayout w:type="fixed"/>
      <w:tblLook w:val="04A0" w:firstRow="1" w:lastRow="0" w:firstColumn="1" w:lastColumn="0" w:noHBand="0" w:noVBand="1"/>
    </w:tblPr>
    <w:tblGrid>
      <w:gridCol w:w="2268"/>
      <w:gridCol w:w="1134"/>
      <w:gridCol w:w="6804"/>
      <w:gridCol w:w="1701"/>
    </w:tblGrid>
    <w:tr w:rsidR="00AD5769" w14:paraId="6829E2F6" w14:textId="77777777" w:rsidTr="004E7620">
      <w:trPr>
        <w:trHeight w:val="624"/>
      </w:trPr>
      <w:tc>
        <w:tcPr>
          <w:tcW w:w="2268" w:type="dxa"/>
        </w:tcPr>
        <w:p w14:paraId="035D27F1" w14:textId="77777777" w:rsidR="00AD5769" w:rsidRDefault="00AD5769" w:rsidP="008F1A78">
          <w:pPr>
            <w:pStyle w:val="Header"/>
            <w:ind w:left="0" w:right="-1"/>
          </w:pPr>
        </w:p>
      </w:tc>
      <w:tc>
        <w:tcPr>
          <w:tcW w:w="1134" w:type="dxa"/>
          <w:vAlign w:val="bottom"/>
        </w:tcPr>
        <w:p w14:paraId="27D1F74F" w14:textId="77777777" w:rsidR="00AD5769" w:rsidRDefault="00AD5769" w:rsidP="008F1A78">
          <w:pPr>
            <w:pStyle w:val="Header"/>
            <w:ind w:left="0" w:right="-1"/>
          </w:pPr>
        </w:p>
      </w:tc>
      <w:tc>
        <w:tcPr>
          <w:tcW w:w="6804" w:type="dxa"/>
          <w:vAlign w:val="bottom"/>
        </w:tcPr>
        <w:p w14:paraId="3D09525D" w14:textId="77777777" w:rsidR="00AD5769" w:rsidRDefault="00AD5769" w:rsidP="008F1A78">
          <w:pPr>
            <w:pStyle w:val="Header"/>
            <w:ind w:left="0" w:right="-1"/>
            <w:jc w:val="right"/>
          </w:pPr>
        </w:p>
      </w:tc>
      <w:tc>
        <w:tcPr>
          <w:tcW w:w="1701" w:type="dxa"/>
        </w:tcPr>
        <w:p w14:paraId="29A98A43" w14:textId="77777777" w:rsidR="00AD5769" w:rsidRDefault="00AD5769" w:rsidP="008F1A78">
          <w:pPr>
            <w:pStyle w:val="Header"/>
            <w:ind w:left="0" w:right="-1"/>
          </w:pPr>
        </w:p>
      </w:tc>
    </w:tr>
  </w:tbl>
  <w:p w14:paraId="29F4E12B" w14:textId="77777777" w:rsidR="00AD5769" w:rsidRPr="008F1A78" w:rsidRDefault="00AD5769" w:rsidP="00677846">
    <w:pPr>
      <w:pStyle w:val="Header"/>
      <w:ind w:left="0"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2474" w:type="dxa"/>
      <w:tblBorders>
        <w:bottom w:val="single" w:sz="4" w:space="0" w:color="F61D12" w:themeColor="accent2"/>
      </w:tblBorders>
      <w:tblLayout w:type="fixed"/>
      <w:tblLook w:val="04A0" w:firstRow="1" w:lastRow="0" w:firstColumn="1" w:lastColumn="0" w:noHBand="0" w:noVBand="1"/>
    </w:tblPr>
    <w:tblGrid>
      <w:gridCol w:w="2268"/>
      <w:gridCol w:w="7513"/>
      <w:gridCol w:w="992"/>
      <w:gridCol w:w="1701"/>
    </w:tblGrid>
    <w:tr w:rsidR="00AD5769" w14:paraId="03836753" w14:textId="77777777" w:rsidTr="004E7620">
      <w:trPr>
        <w:trHeight w:val="624"/>
      </w:trPr>
      <w:tc>
        <w:tcPr>
          <w:tcW w:w="2268" w:type="dxa"/>
        </w:tcPr>
        <w:p w14:paraId="65A20B32" w14:textId="77777777" w:rsidR="00AD5769" w:rsidRDefault="00AD5769" w:rsidP="008F1A78">
          <w:pPr>
            <w:pStyle w:val="Header"/>
            <w:ind w:left="0" w:right="-1"/>
          </w:pPr>
        </w:p>
      </w:tc>
      <w:tc>
        <w:tcPr>
          <w:tcW w:w="7513" w:type="dxa"/>
          <w:vAlign w:val="bottom"/>
        </w:tcPr>
        <w:p w14:paraId="149474D4" w14:textId="788076FC" w:rsidR="00AD5769" w:rsidRDefault="00AD5769" w:rsidP="008F1A78">
          <w:pPr>
            <w:pStyle w:val="Header"/>
            <w:ind w:left="0" w:right="-1"/>
          </w:pPr>
          <w:r>
            <w:rPr>
              <w:noProof/>
            </w:rPr>
            <w:fldChar w:fldCharType="begin"/>
          </w:r>
          <w:r>
            <w:rPr>
              <w:noProof/>
            </w:rPr>
            <w:instrText xml:space="preserve"> STYLEREF  Title </w:instrText>
          </w:r>
          <w:r>
            <w:rPr>
              <w:noProof/>
            </w:rPr>
            <w:fldChar w:fldCharType="separate"/>
          </w:r>
          <w:r>
            <w:rPr>
              <w:noProof/>
            </w:rPr>
            <w:t>Impact of timing of emissions abatement</w:t>
          </w:r>
          <w:r>
            <w:rPr>
              <w:noProof/>
            </w:rPr>
            <w:fldChar w:fldCharType="end"/>
          </w:r>
        </w:p>
      </w:tc>
      <w:tc>
        <w:tcPr>
          <w:tcW w:w="992" w:type="dxa"/>
          <w:vAlign w:val="bottom"/>
        </w:tcPr>
        <w:p w14:paraId="1E529F91" w14:textId="77777777" w:rsidR="00AD5769" w:rsidRDefault="00AD5769" w:rsidP="008F1A78">
          <w:pPr>
            <w:pStyle w:val="Header"/>
            <w:ind w:left="0" w:right="-1"/>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1701" w:type="dxa"/>
        </w:tcPr>
        <w:p w14:paraId="62C03A24" w14:textId="77777777" w:rsidR="00AD5769" w:rsidRDefault="00AD5769" w:rsidP="008F1A78">
          <w:pPr>
            <w:pStyle w:val="Header"/>
            <w:ind w:left="0" w:right="-1"/>
          </w:pPr>
        </w:p>
      </w:tc>
    </w:tr>
  </w:tbl>
  <w:p w14:paraId="631F925F" w14:textId="77777777" w:rsidR="00AD5769" w:rsidRPr="009D4FBD" w:rsidRDefault="00AD5769" w:rsidP="00A43A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1907" w:type="dxa"/>
      <w:tblBorders>
        <w:bottom w:val="single" w:sz="4" w:space="0" w:color="F61D12" w:themeColor="accent2"/>
      </w:tblBorders>
      <w:tblLayout w:type="fixed"/>
      <w:tblLook w:val="04A0" w:firstRow="1" w:lastRow="0" w:firstColumn="1" w:lastColumn="0" w:noHBand="0" w:noVBand="1"/>
    </w:tblPr>
    <w:tblGrid>
      <w:gridCol w:w="2268"/>
      <w:gridCol w:w="1134"/>
      <w:gridCol w:w="6804"/>
      <w:gridCol w:w="1701"/>
    </w:tblGrid>
    <w:tr w:rsidR="00AD5769" w14:paraId="4426B3D5" w14:textId="77777777" w:rsidTr="004E7620">
      <w:trPr>
        <w:trHeight w:val="624"/>
      </w:trPr>
      <w:tc>
        <w:tcPr>
          <w:tcW w:w="2268" w:type="dxa"/>
        </w:tcPr>
        <w:p w14:paraId="6D7D4DB0" w14:textId="77777777" w:rsidR="00AD5769" w:rsidRDefault="00AD5769" w:rsidP="00650F3E">
          <w:pPr>
            <w:pStyle w:val="Header"/>
            <w:ind w:left="0" w:right="-1"/>
          </w:pPr>
        </w:p>
      </w:tc>
      <w:tc>
        <w:tcPr>
          <w:tcW w:w="1134" w:type="dxa"/>
          <w:vAlign w:val="bottom"/>
        </w:tcPr>
        <w:p w14:paraId="7B1A55C4" w14:textId="5AA18360" w:rsidR="00AD5769" w:rsidRDefault="00AD5769" w:rsidP="00650F3E">
          <w:pPr>
            <w:pStyle w:val="Header"/>
            <w:ind w:left="0" w:right="-1"/>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6804" w:type="dxa"/>
          <w:vAlign w:val="bottom"/>
        </w:tcPr>
        <w:p w14:paraId="3C5931B8" w14:textId="1BECCAD0" w:rsidR="00AD5769" w:rsidRDefault="00AD5769" w:rsidP="00650F3E">
          <w:pPr>
            <w:pStyle w:val="Header"/>
            <w:ind w:left="0" w:right="-1"/>
            <w:jc w:val="right"/>
          </w:pPr>
          <w:r>
            <w:rPr>
              <w:noProof/>
            </w:rPr>
            <w:fldChar w:fldCharType="begin"/>
          </w:r>
          <w:r>
            <w:rPr>
              <w:noProof/>
            </w:rPr>
            <w:instrText xml:space="preserve"> STYLEREF  Title </w:instrText>
          </w:r>
          <w:r>
            <w:rPr>
              <w:noProof/>
            </w:rPr>
            <w:fldChar w:fldCharType="separate"/>
          </w:r>
          <w:r w:rsidR="00FD7479">
            <w:rPr>
              <w:noProof/>
            </w:rPr>
            <w:t>Impact of timing of emissions abatement</w:t>
          </w:r>
          <w:r>
            <w:rPr>
              <w:noProof/>
            </w:rPr>
            <w:fldChar w:fldCharType="end"/>
          </w:r>
        </w:p>
      </w:tc>
      <w:tc>
        <w:tcPr>
          <w:tcW w:w="1701" w:type="dxa"/>
        </w:tcPr>
        <w:p w14:paraId="44D540E0" w14:textId="77777777" w:rsidR="00AD5769" w:rsidRDefault="00AD5769" w:rsidP="00650F3E">
          <w:pPr>
            <w:pStyle w:val="Header"/>
            <w:ind w:left="0" w:right="-1"/>
          </w:pPr>
        </w:p>
      </w:tc>
    </w:tr>
  </w:tbl>
  <w:p w14:paraId="1BCDBFC8" w14:textId="77777777" w:rsidR="00AD5769" w:rsidRDefault="00AD5769" w:rsidP="00650F3E">
    <w:pPr>
      <w:pStyle w:val="Header"/>
      <w:ind w:left="0" w:right="-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2474" w:type="dxa"/>
      <w:tblBorders>
        <w:bottom w:val="single" w:sz="4" w:space="0" w:color="F61D12" w:themeColor="accent2"/>
      </w:tblBorders>
      <w:tblLayout w:type="fixed"/>
      <w:tblLook w:val="04A0" w:firstRow="1" w:lastRow="0" w:firstColumn="1" w:lastColumn="0" w:noHBand="0" w:noVBand="1"/>
    </w:tblPr>
    <w:tblGrid>
      <w:gridCol w:w="2268"/>
      <w:gridCol w:w="7513"/>
      <w:gridCol w:w="992"/>
      <w:gridCol w:w="1701"/>
    </w:tblGrid>
    <w:tr w:rsidR="00AD5769" w14:paraId="027FBFF3" w14:textId="77777777" w:rsidTr="004E7620">
      <w:trPr>
        <w:trHeight w:val="624"/>
      </w:trPr>
      <w:tc>
        <w:tcPr>
          <w:tcW w:w="2268" w:type="dxa"/>
        </w:tcPr>
        <w:p w14:paraId="0E4E92FF" w14:textId="77777777" w:rsidR="00AD5769" w:rsidRDefault="00AD5769" w:rsidP="00650F3E">
          <w:pPr>
            <w:pStyle w:val="Header"/>
            <w:ind w:left="0" w:right="-1"/>
          </w:pPr>
        </w:p>
      </w:tc>
      <w:tc>
        <w:tcPr>
          <w:tcW w:w="7513" w:type="dxa"/>
          <w:vAlign w:val="bottom"/>
        </w:tcPr>
        <w:p w14:paraId="7769F708" w14:textId="2D1E14DE" w:rsidR="00AD5769" w:rsidRDefault="00AD5769" w:rsidP="00650F3E">
          <w:pPr>
            <w:pStyle w:val="Header"/>
            <w:ind w:left="0" w:right="-1"/>
          </w:pPr>
          <w:r>
            <w:rPr>
              <w:noProof/>
            </w:rPr>
            <w:fldChar w:fldCharType="begin"/>
          </w:r>
          <w:r>
            <w:rPr>
              <w:noProof/>
            </w:rPr>
            <w:instrText xml:space="preserve"> STYLEREF  Title </w:instrText>
          </w:r>
          <w:r>
            <w:rPr>
              <w:noProof/>
            </w:rPr>
            <w:fldChar w:fldCharType="separate"/>
          </w:r>
          <w:r w:rsidR="00FD7479">
            <w:rPr>
              <w:noProof/>
            </w:rPr>
            <w:t>Impact of timing of emissions abatement</w:t>
          </w:r>
          <w:r>
            <w:rPr>
              <w:noProof/>
            </w:rPr>
            <w:fldChar w:fldCharType="end"/>
          </w:r>
        </w:p>
      </w:tc>
      <w:tc>
        <w:tcPr>
          <w:tcW w:w="992" w:type="dxa"/>
          <w:vAlign w:val="bottom"/>
        </w:tcPr>
        <w:p w14:paraId="3736E92A" w14:textId="32E0E468" w:rsidR="00AD5769" w:rsidRDefault="00AD5769" w:rsidP="00650F3E">
          <w:pPr>
            <w:pStyle w:val="Header"/>
            <w:ind w:left="0" w:right="-1"/>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c>
        <w:tcPr>
          <w:tcW w:w="1701" w:type="dxa"/>
        </w:tcPr>
        <w:p w14:paraId="509BC274" w14:textId="77777777" w:rsidR="00AD5769" w:rsidRDefault="00AD5769" w:rsidP="00650F3E">
          <w:pPr>
            <w:pStyle w:val="Header"/>
            <w:ind w:left="0" w:right="-1"/>
          </w:pPr>
        </w:p>
      </w:tc>
    </w:tr>
  </w:tbl>
  <w:p w14:paraId="79F37EA7" w14:textId="77777777" w:rsidR="00AD5769" w:rsidRPr="003D2A2B" w:rsidRDefault="00AD5769" w:rsidP="00650F3E">
    <w:pPr>
      <w:pStyle w:val="Header"/>
      <w:ind w:left="0" w:right="-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1907" w:type="dxa"/>
      <w:tblBorders>
        <w:bottom w:val="single" w:sz="4" w:space="0" w:color="F61D12" w:themeColor="accent2"/>
      </w:tblBorders>
      <w:tblLayout w:type="fixed"/>
      <w:tblLook w:val="04A0" w:firstRow="1" w:lastRow="0" w:firstColumn="1" w:lastColumn="0" w:noHBand="0" w:noVBand="1"/>
    </w:tblPr>
    <w:tblGrid>
      <w:gridCol w:w="2268"/>
      <w:gridCol w:w="1134"/>
      <w:gridCol w:w="6804"/>
      <w:gridCol w:w="1701"/>
    </w:tblGrid>
    <w:tr w:rsidR="00AD5769" w14:paraId="74790A8E" w14:textId="77777777" w:rsidTr="006D44B3">
      <w:trPr>
        <w:trHeight w:val="624"/>
      </w:trPr>
      <w:tc>
        <w:tcPr>
          <w:tcW w:w="2268" w:type="dxa"/>
        </w:tcPr>
        <w:p w14:paraId="20BA846C" w14:textId="77777777" w:rsidR="00AD5769" w:rsidRDefault="00AD5769" w:rsidP="006D44B3">
          <w:pPr>
            <w:pStyle w:val="Header"/>
            <w:ind w:left="0" w:right="-1"/>
          </w:pPr>
        </w:p>
      </w:tc>
      <w:tc>
        <w:tcPr>
          <w:tcW w:w="1134" w:type="dxa"/>
          <w:vAlign w:val="bottom"/>
        </w:tcPr>
        <w:p w14:paraId="2E76E193" w14:textId="3B987CEE" w:rsidR="00AD5769" w:rsidRDefault="00AD5769" w:rsidP="006D44B3">
          <w:pPr>
            <w:pStyle w:val="Header"/>
            <w:ind w:left="0" w:right="-1"/>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6804" w:type="dxa"/>
          <w:vAlign w:val="bottom"/>
        </w:tcPr>
        <w:p w14:paraId="21B8A30A" w14:textId="439D0565" w:rsidR="00AD5769" w:rsidRDefault="00AD5769" w:rsidP="006D44B3">
          <w:pPr>
            <w:pStyle w:val="Header"/>
            <w:ind w:left="0" w:right="-1"/>
            <w:jc w:val="right"/>
          </w:pPr>
          <w:r>
            <w:rPr>
              <w:noProof/>
            </w:rPr>
            <w:fldChar w:fldCharType="begin"/>
          </w:r>
          <w:r>
            <w:rPr>
              <w:noProof/>
            </w:rPr>
            <w:instrText xml:space="preserve"> STYLEREF  Title </w:instrText>
          </w:r>
          <w:r>
            <w:rPr>
              <w:noProof/>
            </w:rPr>
            <w:fldChar w:fldCharType="separate"/>
          </w:r>
          <w:r w:rsidR="00FD7479">
            <w:rPr>
              <w:noProof/>
            </w:rPr>
            <w:t>Impact of timing of emissions abatement</w:t>
          </w:r>
          <w:r>
            <w:rPr>
              <w:noProof/>
            </w:rPr>
            <w:fldChar w:fldCharType="end"/>
          </w:r>
        </w:p>
      </w:tc>
      <w:tc>
        <w:tcPr>
          <w:tcW w:w="1701" w:type="dxa"/>
        </w:tcPr>
        <w:p w14:paraId="435379EB" w14:textId="77777777" w:rsidR="00AD5769" w:rsidRDefault="00AD5769" w:rsidP="006D44B3">
          <w:pPr>
            <w:pStyle w:val="Header"/>
            <w:ind w:left="0" w:right="-1"/>
          </w:pPr>
        </w:p>
      </w:tc>
    </w:tr>
  </w:tbl>
  <w:p w14:paraId="6296CFC9" w14:textId="77777777" w:rsidR="00AD5769" w:rsidRPr="009D4FBD" w:rsidRDefault="00AD5769" w:rsidP="00677846">
    <w:pPr>
      <w:pStyle w:val="Header"/>
      <w:ind w:left="0" w:right="-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pPr w:leftFromText="181" w:rightFromText="181" w:vertAnchor="text" w:horzAnchor="page" w:tblpX="1" w:tblpY="1"/>
      <w:tblOverlap w:val="never"/>
      <w:tblW w:w="12474" w:type="dxa"/>
      <w:tblBorders>
        <w:bottom w:val="single" w:sz="4" w:space="0" w:color="F61D12" w:themeColor="accent2"/>
      </w:tblBorders>
      <w:tblLayout w:type="fixed"/>
      <w:tblLook w:val="04A0" w:firstRow="1" w:lastRow="0" w:firstColumn="1" w:lastColumn="0" w:noHBand="0" w:noVBand="1"/>
    </w:tblPr>
    <w:tblGrid>
      <w:gridCol w:w="2268"/>
      <w:gridCol w:w="7513"/>
      <w:gridCol w:w="992"/>
      <w:gridCol w:w="1701"/>
    </w:tblGrid>
    <w:tr w:rsidR="00AD5769" w14:paraId="03558761" w14:textId="77777777" w:rsidTr="004E7620">
      <w:trPr>
        <w:trHeight w:val="624"/>
      </w:trPr>
      <w:tc>
        <w:tcPr>
          <w:tcW w:w="2268" w:type="dxa"/>
        </w:tcPr>
        <w:p w14:paraId="0F30B66B" w14:textId="77777777" w:rsidR="00AD5769" w:rsidRDefault="00AD5769" w:rsidP="006D44B3">
          <w:pPr>
            <w:pStyle w:val="Header"/>
            <w:ind w:left="0" w:right="-1"/>
          </w:pPr>
        </w:p>
      </w:tc>
      <w:tc>
        <w:tcPr>
          <w:tcW w:w="7513" w:type="dxa"/>
          <w:vAlign w:val="bottom"/>
        </w:tcPr>
        <w:p w14:paraId="5AD2E62F" w14:textId="01EFD017" w:rsidR="00AD5769" w:rsidRDefault="00AD5769" w:rsidP="006D44B3">
          <w:pPr>
            <w:pStyle w:val="Header"/>
            <w:ind w:left="0" w:right="-1"/>
          </w:pPr>
          <w:r>
            <w:rPr>
              <w:noProof/>
            </w:rPr>
            <w:fldChar w:fldCharType="begin"/>
          </w:r>
          <w:r>
            <w:rPr>
              <w:noProof/>
            </w:rPr>
            <w:instrText xml:space="preserve"> STYLEREF  Title </w:instrText>
          </w:r>
          <w:r>
            <w:rPr>
              <w:noProof/>
            </w:rPr>
            <w:fldChar w:fldCharType="separate"/>
          </w:r>
          <w:r w:rsidR="00FD7479">
            <w:rPr>
              <w:noProof/>
            </w:rPr>
            <w:t>Impact of timing of emissions abatement</w:t>
          </w:r>
          <w:r>
            <w:rPr>
              <w:noProof/>
            </w:rPr>
            <w:fldChar w:fldCharType="end"/>
          </w:r>
        </w:p>
      </w:tc>
      <w:tc>
        <w:tcPr>
          <w:tcW w:w="992" w:type="dxa"/>
          <w:vAlign w:val="bottom"/>
        </w:tcPr>
        <w:p w14:paraId="67D58591" w14:textId="25752F50" w:rsidR="00AD5769" w:rsidRDefault="00AD5769" w:rsidP="006D44B3">
          <w:pPr>
            <w:pStyle w:val="Header"/>
            <w:ind w:left="0" w:right="-1"/>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c>
        <w:tcPr>
          <w:tcW w:w="1701" w:type="dxa"/>
        </w:tcPr>
        <w:p w14:paraId="05720C7B" w14:textId="77777777" w:rsidR="00AD5769" w:rsidRDefault="00AD5769" w:rsidP="006D44B3">
          <w:pPr>
            <w:pStyle w:val="Header"/>
            <w:ind w:left="0" w:right="-1"/>
          </w:pPr>
        </w:p>
      </w:tc>
    </w:tr>
  </w:tbl>
  <w:p w14:paraId="03374CAA" w14:textId="77777777" w:rsidR="00AD5769" w:rsidRPr="009D4FBD" w:rsidRDefault="00AD5769" w:rsidP="00677846">
    <w:pPr>
      <w:pStyle w:val="Header"/>
      <w:ind w:left="0"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4EB"/>
    <w:multiLevelType w:val="multilevel"/>
    <w:tmpl w:val="A8A0795C"/>
    <w:numStyleLink w:val="RecommendationNumbers"/>
  </w:abstractNum>
  <w:abstractNum w:abstractNumId="1" w15:restartNumberingAfterBreak="0">
    <w:nsid w:val="08624913"/>
    <w:multiLevelType w:val="hybridMultilevel"/>
    <w:tmpl w:val="339431A0"/>
    <w:lvl w:ilvl="0" w:tplc="44886BAA">
      <w:start w:val="1"/>
      <w:numFmt w:val="bullet"/>
      <w:lvlText w:val=""/>
      <w:lvlJc w:val="left"/>
      <w:pPr>
        <w:tabs>
          <w:tab w:val="num" w:pos="720"/>
        </w:tabs>
        <w:ind w:left="720" w:hanging="360"/>
      </w:pPr>
      <w:rPr>
        <w:rFonts w:ascii="Wingdings" w:hAnsi="Wingdings" w:hint="default"/>
      </w:rPr>
    </w:lvl>
    <w:lvl w:ilvl="1" w:tplc="E3A48E12">
      <w:start w:val="1"/>
      <w:numFmt w:val="bullet"/>
      <w:lvlText w:val=""/>
      <w:lvlJc w:val="left"/>
      <w:pPr>
        <w:tabs>
          <w:tab w:val="num" w:pos="1440"/>
        </w:tabs>
        <w:ind w:left="1440" w:hanging="360"/>
      </w:pPr>
      <w:rPr>
        <w:rFonts w:ascii="Wingdings" w:hAnsi="Wingdings" w:hint="default"/>
      </w:rPr>
    </w:lvl>
    <w:lvl w:ilvl="2" w:tplc="F1609E9C" w:tentative="1">
      <w:start w:val="1"/>
      <w:numFmt w:val="bullet"/>
      <w:lvlText w:val=""/>
      <w:lvlJc w:val="left"/>
      <w:pPr>
        <w:tabs>
          <w:tab w:val="num" w:pos="2160"/>
        </w:tabs>
        <w:ind w:left="2160" w:hanging="360"/>
      </w:pPr>
      <w:rPr>
        <w:rFonts w:ascii="Wingdings" w:hAnsi="Wingdings" w:hint="default"/>
      </w:rPr>
    </w:lvl>
    <w:lvl w:ilvl="3" w:tplc="31168620" w:tentative="1">
      <w:start w:val="1"/>
      <w:numFmt w:val="bullet"/>
      <w:lvlText w:val=""/>
      <w:lvlJc w:val="left"/>
      <w:pPr>
        <w:tabs>
          <w:tab w:val="num" w:pos="2880"/>
        </w:tabs>
        <w:ind w:left="2880" w:hanging="360"/>
      </w:pPr>
      <w:rPr>
        <w:rFonts w:ascii="Wingdings" w:hAnsi="Wingdings" w:hint="default"/>
      </w:rPr>
    </w:lvl>
    <w:lvl w:ilvl="4" w:tplc="DE88C596" w:tentative="1">
      <w:start w:val="1"/>
      <w:numFmt w:val="bullet"/>
      <w:lvlText w:val=""/>
      <w:lvlJc w:val="left"/>
      <w:pPr>
        <w:tabs>
          <w:tab w:val="num" w:pos="3600"/>
        </w:tabs>
        <w:ind w:left="3600" w:hanging="360"/>
      </w:pPr>
      <w:rPr>
        <w:rFonts w:ascii="Wingdings" w:hAnsi="Wingdings" w:hint="default"/>
      </w:rPr>
    </w:lvl>
    <w:lvl w:ilvl="5" w:tplc="AA36491A" w:tentative="1">
      <w:start w:val="1"/>
      <w:numFmt w:val="bullet"/>
      <w:lvlText w:val=""/>
      <w:lvlJc w:val="left"/>
      <w:pPr>
        <w:tabs>
          <w:tab w:val="num" w:pos="4320"/>
        </w:tabs>
        <w:ind w:left="4320" w:hanging="360"/>
      </w:pPr>
      <w:rPr>
        <w:rFonts w:ascii="Wingdings" w:hAnsi="Wingdings" w:hint="default"/>
      </w:rPr>
    </w:lvl>
    <w:lvl w:ilvl="6" w:tplc="C85606F0" w:tentative="1">
      <w:start w:val="1"/>
      <w:numFmt w:val="bullet"/>
      <w:lvlText w:val=""/>
      <w:lvlJc w:val="left"/>
      <w:pPr>
        <w:tabs>
          <w:tab w:val="num" w:pos="5040"/>
        </w:tabs>
        <w:ind w:left="5040" w:hanging="360"/>
      </w:pPr>
      <w:rPr>
        <w:rFonts w:ascii="Wingdings" w:hAnsi="Wingdings" w:hint="default"/>
      </w:rPr>
    </w:lvl>
    <w:lvl w:ilvl="7" w:tplc="728AB1D8" w:tentative="1">
      <w:start w:val="1"/>
      <w:numFmt w:val="bullet"/>
      <w:lvlText w:val=""/>
      <w:lvlJc w:val="left"/>
      <w:pPr>
        <w:tabs>
          <w:tab w:val="num" w:pos="5760"/>
        </w:tabs>
        <w:ind w:left="5760" w:hanging="360"/>
      </w:pPr>
      <w:rPr>
        <w:rFonts w:ascii="Wingdings" w:hAnsi="Wingdings" w:hint="default"/>
      </w:rPr>
    </w:lvl>
    <w:lvl w:ilvl="8" w:tplc="461059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02B9"/>
    <w:multiLevelType w:val="multilevel"/>
    <w:tmpl w:val="7286E4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6C37E3"/>
    <w:multiLevelType w:val="multilevel"/>
    <w:tmpl w:val="5BCE45E4"/>
    <w:numStyleLink w:val="NoteListNumber"/>
  </w:abstractNum>
  <w:abstractNum w:abstractNumId="4" w15:restartNumberingAfterBreak="0">
    <w:nsid w:val="0DF0714B"/>
    <w:multiLevelType w:val="multilevel"/>
    <w:tmpl w:val="0C09001F"/>
    <w:name w:val="NoteNumbers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F659F"/>
    <w:multiLevelType w:val="multilevel"/>
    <w:tmpl w:val="60E6D4CC"/>
    <w:styleLink w:val="ListNumbers"/>
    <w:lvl w:ilvl="0">
      <w:start w:val="1"/>
      <w:numFmt w:val="decimal"/>
      <w:pStyle w:val="ListNumber"/>
      <w:lvlText w:val="%1"/>
      <w:lvlJc w:val="left"/>
      <w:pPr>
        <w:tabs>
          <w:tab w:val="num" w:pos="284"/>
        </w:tabs>
        <w:ind w:left="284" w:hanging="284"/>
      </w:pPr>
      <w:rPr>
        <w:rFonts w:ascii="Calisto MT" w:hAnsi="Calisto MT"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8D63BB"/>
    <w:multiLevelType w:val="multilevel"/>
    <w:tmpl w:val="5BCE45E4"/>
    <w:styleLink w:val="NoteListNumber"/>
    <w:lvl w:ilvl="0">
      <w:start w:val="1"/>
      <w:numFmt w:val="none"/>
      <w:lvlRestart w:val="0"/>
      <w:suff w:val="nothing"/>
      <w:lvlText w:val="%1"/>
      <w:lvlJc w:val="left"/>
      <w:pPr>
        <w:ind w:left="0" w:firstLine="0"/>
      </w:pPr>
      <w:rPr>
        <w:rFonts w:ascii="Calibri" w:hAnsi="Calibri" w:cs="Calibri" w:hint="default"/>
        <w:b/>
        <w:i w:val="0"/>
        <w:color w:val="C6BFAB" w:themeColor="accent3"/>
        <w:position w:val="4"/>
      </w:rPr>
    </w:lvl>
    <w:lvl w:ilvl="1">
      <w:start w:val="1"/>
      <w:numFmt w:val="lowerLetter"/>
      <w:lvlText w:val="%1%2"/>
      <w:lvlJc w:val="left"/>
      <w:pPr>
        <w:tabs>
          <w:tab w:val="num" w:pos="170"/>
        </w:tabs>
        <w:ind w:left="170" w:hanging="170"/>
      </w:pPr>
      <w:rPr>
        <w:rFonts w:hint="default"/>
        <w:b/>
        <w:i w:val="0"/>
        <w:color w:val="C6BFAB"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7" w15:restartNumberingAfterBreak="0">
    <w:nsid w:val="19B85820"/>
    <w:multiLevelType w:val="multilevel"/>
    <w:tmpl w:val="F94A5772"/>
    <w:styleLink w:val="ChartListBullets"/>
    <w:lvl w:ilvl="0">
      <w:start w:val="1"/>
      <w:numFmt w:val="bullet"/>
      <w:pStyle w:val="ChartListBullet"/>
      <w:lvlText w:val="■"/>
      <w:lvlJc w:val="left"/>
      <w:pPr>
        <w:tabs>
          <w:tab w:val="num" w:pos="170"/>
        </w:tabs>
        <w:ind w:left="170" w:hanging="170"/>
      </w:pPr>
      <w:rPr>
        <w:rFonts w:ascii="Franklin Gothic Book" w:hAnsi="Franklin Gothic Book" w:hint="default"/>
        <w:color w:val="9B917E" w:themeColor="accent4"/>
        <w:position w:val="2"/>
        <w:sz w:val="12"/>
      </w:rPr>
    </w:lvl>
    <w:lvl w:ilvl="1">
      <w:start w:val="1"/>
      <w:numFmt w:val="bullet"/>
      <w:pStyle w:val="ChartListBullet2"/>
      <w:lvlText w:val="–"/>
      <w:lvlJc w:val="left"/>
      <w:pPr>
        <w:tabs>
          <w:tab w:val="num" w:pos="340"/>
        </w:tabs>
        <w:ind w:left="340" w:hanging="170"/>
      </w:pPr>
      <w:rPr>
        <w:rFonts w:ascii="Franklin Gothic Book" w:hAnsi="Franklin Gothic Book"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8140CF"/>
    <w:multiLevelType w:val="hybridMultilevel"/>
    <w:tmpl w:val="3348B796"/>
    <w:lvl w:ilvl="0" w:tplc="74A8EDB6">
      <w:start w:val="1"/>
      <w:numFmt w:val="bullet"/>
      <w:lvlText w:val="■"/>
      <w:lvlJc w:val="left"/>
      <w:pPr>
        <w:tabs>
          <w:tab w:val="num" w:pos="720"/>
        </w:tabs>
        <w:ind w:left="720" w:hanging="360"/>
      </w:pPr>
      <w:rPr>
        <w:rFonts w:ascii="Franklin Gothic Medium" w:hAnsi="Franklin Gothic Medium" w:hint="default"/>
      </w:rPr>
    </w:lvl>
    <w:lvl w:ilvl="1" w:tplc="F8B83B8C">
      <w:start w:val="1"/>
      <w:numFmt w:val="bullet"/>
      <w:lvlText w:val="■"/>
      <w:lvlJc w:val="left"/>
      <w:pPr>
        <w:tabs>
          <w:tab w:val="num" w:pos="1440"/>
        </w:tabs>
        <w:ind w:left="1440" w:hanging="360"/>
      </w:pPr>
      <w:rPr>
        <w:rFonts w:ascii="Franklin Gothic Medium" w:hAnsi="Franklin Gothic Medium" w:hint="default"/>
      </w:rPr>
    </w:lvl>
    <w:lvl w:ilvl="2" w:tplc="CA0CB4E8" w:tentative="1">
      <w:start w:val="1"/>
      <w:numFmt w:val="bullet"/>
      <w:lvlText w:val="■"/>
      <w:lvlJc w:val="left"/>
      <w:pPr>
        <w:tabs>
          <w:tab w:val="num" w:pos="2160"/>
        </w:tabs>
        <w:ind w:left="2160" w:hanging="360"/>
      </w:pPr>
      <w:rPr>
        <w:rFonts w:ascii="Franklin Gothic Medium" w:hAnsi="Franklin Gothic Medium" w:hint="default"/>
      </w:rPr>
    </w:lvl>
    <w:lvl w:ilvl="3" w:tplc="B406CC08" w:tentative="1">
      <w:start w:val="1"/>
      <w:numFmt w:val="bullet"/>
      <w:lvlText w:val="■"/>
      <w:lvlJc w:val="left"/>
      <w:pPr>
        <w:tabs>
          <w:tab w:val="num" w:pos="2880"/>
        </w:tabs>
        <w:ind w:left="2880" w:hanging="360"/>
      </w:pPr>
      <w:rPr>
        <w:rFonts w:ascii="Franklin Gothic Medium" w:hAnsi="Franklin Gothic Medium" w:hint="default"/>
      </w:rPr>
    </w:lvl>
    <w:lvl w:ilvl="4" w:tplc="FBC4293E" w:tentative="1">
      <w:start w:val="1"/>
      <w:numFmt w:val="bullet"/>
      <w:lvlText w:val="■"/>
      <w:lvlJc w:val="left"/>
      <w:pPr>
        <w:tabs>
          <w:tab w:val="num" w:pos="3600"/>
        </w:tabs>
        <w:ind w:left="3600" w:hanging="360"/>
      </w:pPr>
      <w:rPr>
        <w:rFonts w:ascii="Franklin Gothic Medium" w:hAnsi="Franklin Gothic Medium" w:hint="default"/>
      </w:rPr>
    </w:lvl>
    <w:lvl w:ilvl="5" w:tplc="77D6B9F8" w:tentative="1">
      <w:start w:val="1"/>
      <w:numFmt w:val="bullet"/>
      <w:lvlText w:val="■"/>
      <w:lvlJc w:val="left"/>
      <w:pPr>
        <w:tabs>
          <w:tab w:val="num" w:pos="4320"/>
        </w:tabs>
        <w:ind w:left="4320" w:hanging="360"/>
      </w:pPr>
      <w:rPr>
        <w:rFonts w:ascii="Franklin Gothic Medium" w:hAnsi="Franklin Gothic Medium" w:hint="default"/>
      </w:rPr>
    </w:lvl>
    <w:lvl w:ilvl="6" w:tplc="0E3A1B42" w:tentative="1">
      <w:start w:val="1"/>
      <w:numFmt w:val="bullet"/>
      <w:lvlText w:val="■"/>
      <w:lvlJc w:val="left"/>
      <w:pPr>
        <w:tabs>
          <w:tab w:val="num" w:pos="5040"/>
        </w:tabs>
        <w:ind w:left="5040" w:hanging="360"/>
      </w:pPr>
      <w:rPr>
        <w:rFonts w:ascii="Franklin Gothic Medium" w:hAnsi="Franklin Gothic Medium" w:hint="default"/>
      </w:rPr>
    </w:lvl>
    <w:lvl w:ilvl="7" w:tplc="3AE6000A" w:tentative="1">
      <w:start w:val="1"/>
      <w:numFmt w:val="bullet"/>
      <w:lvlText w:val="■"/>
      <w:lvlJc w:val="left"/>
      <w:pPr>
        <w:tabs>
          <w:tab w:val="num" w:pos="5760"/>
        </w:tabs>
        <w:ind w:left="5760" w:hanging="360"/>
      </w:pPr>
      <w:rPr>
        <w:rFonts w:ascii="Franklin Gothic Medium" w:hAnsi="Franklin Gothic Medium" w:hint="default"/>
      </w:rPr>
    </w:lvl>
    <w:lvl w:ilvl="8" w:tplc="F44A82FC"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9" w15:restartNumberingAfterBreak="0">
    <w:nsid w:val="25416D84"/>
    <w:multiLevelType w:val="multilevel"/>
    <w:tmpl w:val="5BCE45E4"/>
    <w:lvl w:ilvl="0">
      <w:start w:val="1"/>
      <w:numFmt w:val="none"/>
      <w:lvlRestart w:val="0"/>
      <w:suff w:val="nothing"/>
      <w:lvlText w:val="%1"/>
      <w:lvlJc w:val="left"/>
      <w:pPr>
        <w:ind w:left="0" w:firstLine="0"/>
      </w:pPr>
      <w:rPr>
        <w:rFonts w:ascii="Calibri" w:hAnsi="Calibri" w:cs="Calibri" w:hint="default"/>
        <w:b/>
        <w:i w:val="0"/>
        <w:color w:val="C6BFAB" w:themeColor="accent3"/>
        <w:position w:val="4"/>
      </w:rPr>
    </w:lvl>
    <w:lvl w:ilvl="1">
      <w:start w:val="1"/>
      <w:numFmt w:val="lowerLetter"/>
      <w:lvlText w:val="%1%2"/>
      <w:lvlJc w:val="left"/>
      <w:pPr>
        <w:tabs>
          <w:tab w:val="num" w:pos="170"/>
        </w:tabs>
        <w:ind w:left="170" w:hanging="170"/>
      </w:pPr>
      <w:rPr>
        <w:rFonts w:hint="default"/>
        <w:b/>
        <w:i w:val="0"/>
        <w:color w:val="C6BFAB"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10" w15:restartNumberingAfterBreak="0">
    <w:nsid w:val="27006C08"/>
    <w:multiLevelType w:val="multilevel"/>
    <w:tmpl w:val="149034BA"/>
    <w:styleLink w:val="KeyPointBullets"/>
    <w:lvl w:ilvl="0">
      <w:start w:val="1"/>
      <w:numFmt w:val="bullet"/>
      <w:pStyle w:val="KeyPoint"/>
      <w:lvlText w:val="■"/>
      <w:lvlJc w:val="left"/>
      <w:pPr>
        <w:tabs>
          <w:tab w:val="num" w:pos="284"/>
        </w:tabs>
        <w:ind w:left="284" w:hanging="284"/>
      </w:pPr>
      <w:rPr>
        <w:rFonts w:ascii="Franklin Gothic Demi" w:hAnsi="Franklin Gothic Demi" w:hint="default"/>
        <w:color w:val="F61D12" w:themeColor="accent2"/>
      </w:rPr>
    </w:lvl>
    <w:lvl w:ilvl="1">
      <w:start w:val="1"/>
      <w:numFmt w:val="bullet"/>
      <w:pStyle w:val="KeyPoint2"/>
      <w:lvlText w:val="–"/>
      <w:lvlJc w:val="left"/>
      <w:pPr>
        <w:tabs>
          <w:tab w:val="num" w:pos="567"/>
        </w:tabs>
        <w:ind w:left="567" w:hanging="283"/>
      </w:pPr>
      <w:rPr>
        <w:rFonts w:ascii="Franklin Gothic Demi" w:hAnsi="Franklin Gothic Demi" w:hint="default"/>
        <w:color w:val="F61D12" w:themeColor="accent2"/>
        <w:position w:val="2"/>
      </w:rPr>
    </w:lvl>
    <w:lvl w:ilvl="2">
      <w:start w:val="1"/>
      <w:numFmt w:val="bullet"/>
      <w:pStyle w:val="KeyPoint3"/>
      <w:lvlText w:val="…"/>
      <w:lvlJc w:val="left"/>
      <w:pPr>
        <w:tabs>
          <w:tab w:val="num" w:pos="992"/>
        </w:tabs>
        <w:ind w:left="992" w:hanging="425"/>
      </w:pPr>
      <w:rPr>
        <w:rFonts w:ascii="Franklin Gothic Demi" w:hAnsi="Franklin Gothic Demi" w:hint="default"/>
        <w:color w:val="F61D12"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E231F0"/>
    <w:multiLevelType w:val="multilevel"/>
    <w:tmpl w:val="A8A0795C"/>
    <w:styleLink w:val="RecommendationNumbers"/>
    <w:lvl w:ilvl="0">
      <w:start w:val="1"/>
      <w:numFmt w:val="decimal"/>
      <w:pStyle w:val="RecommendationNumber"/>
      <w:lvlText w:val="%1"/>
      <w:lvlJc w:val="left"/>
      <w:pPr>
        <w:tabs>
          <w:tab w:val="num" w:pos="284"/>
        </w:tabs>
        <w:ind w:left="284" w:hanging="284"/>
      </w:pPr>
      <w:rPr>
        <w:rFonts w:hint="default"/>
      </w:rPr>
    </w:lvl>
    <w:lvl w:ilvl="1">
      <w:start w:val="1"/>
      <w:numFmt w:val="lowerLetter"/>
      <w:pStyle w:val="RecommendationNumber2"/>
      <w:lvlText w:val="%2)"/>
      <w:lvlJc w:val="left"/>
      <w:pPr>
        <w:tabs>
          <w:tab w:val="num" w:pos="567"/>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624A0E"/>
    <w:multiLevelType w:val="multilevel"/>
    <w:tmpl w:val="5BCE45E4"/>
    <w:numStyleLink w:val="NoteListNumber"/>
  </w:abstractNum>
  <w:abstractNum w:abstractNumId="13" w15:restartNumberingAfterBreak="0">
    <w:nsid w:val="3487660B"/>
    <w:multiLevelType w:val="multilevel"/>
    <w:tmpl w:val="5BCE45E4"/>
    <w:numStyleLink w:val="NoteListNumber"/>
  </w:abstractNum>
  <w:abstractNum w:abstractNumId="14" w15:restartNumberingAfterBreak="0">
    <w:nsid w:val="41535386"/>
    <w:multiLevelType w:val="multilevel"/>
    <w:tmpl w:val="8C8656A2"/>
    <w:styleLink w:val="TableListNumbers"/>
    <w:lvl w:ilvl="0">
      <w:start w:val="1"/>
      <w:numFmt w:val="decimal"/>
      <w:pStyle w:val="TableListNumber"/>
      <w:lvlText w:val="%1"/>
      <w:lvlJc w:val="left"/>
      <w:pPr>
        <w:tabs>
          <w:tab w:val="num" w:pos="170"/>
        </w:tabs>
        <w:ind w:left="170" w:hanging="170"/>
      </w:pPr>
      <w:rPr>
        <w:rFonts w:ascii="Franklin Gothic Book" w:hAnsi="Franklin Gothic Book"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E47EB6"/>
    <w:multiLevelType w:val="hybridMultilevel"/>
    <w:tmpl w:val="C0EEF284"/>
    <w:lvl w:ilvl="0" w:tplc="478EAA64">
      <w:start w:val="1"/>
      <w:numFmt w:val="bullet"/>
      <w:lvlText w:val=""/>
      <w:lvlJc w:val="left"/>
      <w:pPr>
        <w:tabs>
          <w:tab w:val="num" w:pos="720"/>
        </w:tabs>
        <w:ind w:left="720" w:hanging="360"/>
      </w:pPr>
      <w:rPr>
        <w:rFonts w:ascii="Wingdings" w:hAnsi="Wingdings" w:hint="default"/>
      </w:rPr>
    </w:lvl>
    <w:lvl w:ilvl="1" w:tplc="3F226228">
      <w:numFmt w:val="bullet"/>
      <w:lvlText w:val="—"/>
      <w:lvlJc w:val="left"/>
      <w:pPr>
        <w:tabs>
          <w:tab w:val="num" w:pos="1440"/>
        </w:tabs>
        <w:ind w:left="1440" w:hanging="360"/>
      </w:pPr>
      <w:rPr>
        <w:rFonts w:ascii="Franklin Gothic Medium" w:hAnsi="Franklin Gothic Medium" w:hint="default"/>
      </w:rPr>
    </w:lvl>
    <w:lvl w:ilvl="2" w:tplc="28C68EE0">
      <w:start w:val="1"/>
      <w:numFmt w:val="bullet"/>
      <w:lvlText w:val=""/>
      <w:lvlJc w:val="left"/>
      <w:pPr>
        <w:tabs>
          <w:tab w:val="num" w:pos="2160"/>
        </w:tabs>
        <w:ind w:left="2160" w:hanging="360"/>
      </w:pPr>
      <w:rPr>
        <w:rFonts w:ascii="Wingdings" w:hAnsi="Wingdings" w:hint="default"/>
      </w:rPr>
    </w:lvl>
    <w:lvl w:ilvl="3" w:tplc="8D6CFD7C">
      <w:start w:val="1"/>
      <w:numFmt w:val="bullet"/>
      <w:lvlText w:val=""/>
      <w:lvlJc w:val="left"/>
      <w:pPr>
        <w:tabs>
          <w:tab w:val="num" w:pos="2880"/>
        </w:tabs>
        <w:ind w:left="2880" w:hanging="360"/>
      </w:pPr>
      <w:rPr>
        <w:rFonts w:ascii="Wingdings" w:hAnsi="Wingdings" w:hint="default"/>
      </w:rPr>
    </w:lvl>
    <w:lvl w:ilvl="4" w:tplc="0D749AA6">
      <w:start w:val="1"/>
      <w:numFmt w:val="bullet"/>
      <w:lvlText w:val=""/>
      <w:lvlJc w:val="left"/>
      <w:pPr>
        <w:tabs>
          <w:tab w:val="num" w:pos="3600"/>
        </w:tabs>
        <w:ind w:left="3600" w:hanging="360"/>
      </w:pPr>
      <w:rPr>
        <w:rFonts w:ascii="Wingdings" w:hAnsi="Wingdings" w:hint="default"/>
      </w:rPr>
    </w:lvl>
    <w:lvl w:ilvl="5" w:tplc="53E6F824">
      <w:start w:val="1"/>
      <w:numFmt w:val="bullet"/>
      <w:lvlText w:val=""/>
      <w:lvlJc w:val="left"/>
      <w:pPr>
        <w:tabs>
          <w:tab w:val="num" w:pos="4320"/>
        </w:tabs>
        <w:ind w:left="4320" w:hanging="360"/>
      </w:pPr>
      <w:rPr>
        <w:rFonts w:ascii="Wingdings" w:hAnsi="Wingdings" w:hint="default"/>
      </w:rPr>
    </w:lvl>
    <w:lvl w:ilvl="6" w:tplc="0B2879AC">
      <w:start w:val="1"/>
      <w:numFmt w:val="bullet"/>
      <w:lvlText w:val=""/>
      <w:lvlJc w:val="left"/>
      <w:pPr>
        <w:tabs>
          <w:tab w:val="num" w:pos="5040"/>
        </w:tabs>
        <w:ind w:left="5040" w:hanging="360"/>
      </w:pPr>
      <w:rPr>
        <w:rFonts w:ascii="Wingdings" w:hAnsi="Wingdings" w:hint="default"/>
      </w:rPr>
    </w:lvl>
    <w:lvl w:ilvl="7" w:tplc="3CB0A530">
      <w:start w:val="1"/>
      <w:numFmt w:val="bullet"/>
      <w:lvlText w:val=""/>
      <w:lvlJc w:val="left"/>
      <w:pPr>
        <w:tabs>
          <w:tab w:val="num" w:pos="5760"/>
        </w:tabs>
        <w:ind w:left="5760" w:hanging="360"/>
      </w:pPr>
      <w:rPr>
        <w:rFonts w:ascii="Wingdings" w:hAnsi="Wingdings" w:hint="default"/>
      </w:rPr>
    </w:lvl>
    <w:lvl w:ilvl="8" w:tplc="B73A9FC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E75E8"/>
    <w:multiLevelType w:val="multilevel"/>
    <w:tmpl w:val="49B2C914"/>
    <w:styleLink w:val="HeadingNumbers"/>
    <w:lvl w:ilvl="0">
      <w:start w:val="1"/>
      <w:numFmt w:val="decimal"/>
      <w:pStyle w:val="Heading1"/>
      <w:lvlText w:val="%1"/>
      <w:lvlJc w:val="left"/>
      <w:pPr>
        <w:tabs>
          <w:tab w:val="num" w:pos="567"/>
        </w:tabs>
        <w:ind w:left="567" w:hanging="567"/>
      </w:pPr>
      <w:rPr>
        <w:rFonts w:hint="default"/>
        <w:b w:val="0"/>
        <w:i/>
        <w:color w:val="auto"/>
        <w:sz w:val="36"/>
      </w:rPr>
    </w:lvl>
    <w:lvl w:ilvl="1">
      <w:start w:val="1"/>
      <w:numFmt w:val="none"/>
      <w:lvlRestart w:val="0"/>
      <w:pStyle w:val="Heading2"/>
      <w:suff w:val="nothing"/>
      <w:lvlText w:val=""/>
      <w:lvlJc w:val="left"/>
      <w:pPr>
        <w:ind w:left="0" w:firstLine="0"/>
      </w:pPr>
      <w:rPr>
        <w:rFonts w:hint="default"/>
      </w:rPr>
    </w:lvl>
    <w:lvl w:ilvl="2">
      <w:start w:val="1"/>
      <w:numFmt w:val="none"/>
      <w:lvlRestart w:val="0"/>
      <w:pStyle w:val="Heading3"/>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Heading6"/>
      <w:lvlText w:val="%6"/>
      <w:lvlJc w:val="left"/>
      <w:pPr>
        <w:tabs>
          <w:tab w:val="num" w:pos="567"/>
        </w:tabs>
        <w:ind w:left="567" w:hanging="567"/>
      </w:pPr>
      <w:rPr>
        <w:rFonts w:hint="default"/>
        <w:b w:val="0"/>
        <w:i/>
        <w:caps w:val="0"/>
        <w:sz w:val="36"/>
        <w:szCs w:val="28"/>
      </w:rPr>
    </w:lvl>
    <w:lvl w:ilvl="6">
      <w:start w:val="1"/>
      <w:numFmt w:val="none"/>
      <w:lvlRestart w:val="0"/>
      <w:pStyle w:val="Heading7"/>
      <w:suff w:val="nothing"/>
      <w:lvlText w:val=""/>
      <w:lvlJc w:val="left"/>
      <w:pPr>
        <w:ind w:left="0" w:firstLine="0"/>
      </w:pPr>
      <w:rPr>
        <w:rFonts w:hint="default"/>
        <w:caps/>
        <w:sz w:val="22"/>
        <w:szCs w:val="22"/>
      </w:rPr>
    </w:lvl>
    <w:lvl w:ilvl="7">
      <w:start w:val="1"/>
      <w:numFmt w:val="none"/>
      <w:lvlRestart w:val="0"/>
      <w:pStyle w:val="Heading8"/>
      <w:suff w:val="nothing"/>
      <w:lvlText w:val=""/>
      <w:lvlJc w:val="left"/>
      <w:pPr>
        <w:ind w:left="0" w:firstLine="0"/>
      </w:pPr>
      <w:rPr>
        <w:rFonts w:asciiTheme="majorHAnsi" w:hAnsiTheme="majorHAnsi" w:hint="default"/>
      </w:rPr>
    </w:lvl>
    <w:lvl w:ilvl="8">
      <w:start w:val="1"/>
      <w:numFmt w:val="none"/>
      <w:lvlRestart w:val="0"/>
      <w:pStyle w:val="Heading9"/>
      <w:suff w:val="nothing"/>
      <w:lvlText w:val=""/>
      <w:lvlJc w:val="left"/>
      <w:pPr>
        <w:ind w:left="0" w:firstLine="0"/>
      </w:pPr>
      <w:rPr>
        <w:rFonts w:asciiTheme="majorHAnsi" w:hAnsiTheme="majorHAnsi" w:hint="default"/>
      </w:rPr>
    </w:lvl>
  </w:abstractNum>
  <w:abstractNum w:abstractNumId="17" w15:restartNumberingAfterBreak="0">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9B917E"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7896"/>
    <w:multiLevelType w:val="multilevel"/>
    <w:tmpl w:val="567ADE74"/>
    <w:numStyleLink w:val="TableListBullets"/>
  </w:abstractNum>
  <w:abstractNum w:abstractNumId="19" w15:restartNumberingAfterBreak="0">
    <w:nsid w:val="58B8648D"/>
    <w:multiLevelType w:val="multilevel"/>
    <w:tmpl w:val="5BCE45E4"/>
    <w:lvl w:ilvl="0">
      <w:start w:val="1"/>
      <w:numFmt w:val="none"/>
      <w:lvlRestart w:val="0"/>
      <w:suff w:val="nothing"/>
      <w:lvlText w:val="%1"/>
      <w:lvlJc w:val="left"/>
      <w:pPr>
        <w:ind w:left="0" w:firstLine="0"/>
      </w:pPr>
      <w:rPr>
        <w:rFonts w:ascii="Calibri" w:hAnsi="Calibri" w:cs="Calibri" w:hint="default"/>
        <w:b/>
        <w:i w:val="0"/>
        <w:color w:val="C6BFAB" w:themeColor="accent3"/>
        <w:position w:val="4"/>
      </w:rPr>
    </w:lvl>
    <w:lvl w:ilvl="1">
      <w:start w:val="1"/>
      <w:numFmt w:val="lowerLetter"/>
      <w:pStyle w:val="NoteNumber"/>
      <w:lvlText w:val="%1%2"/>
      <w:lvlJc w:val="left"/>
      <w:pPr>
        <w:tabs>
          <w:tab w:val="num" w:pos="170"/>
        </w:tabs>
        <w:ind w:left="170" w:hanging="170"/>
      </w:pPr>
      <w:rPr>
        <w:rFonts w:hint="default"/>
        <w:b/>
        <w:i w:val="0"/>
        <w:color w:val="C6BFAB"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20" w15:restartNumberingAfterBreak="0">
    <w:nsid w:val="657C0F6F"/>
    <w:multiLevelType w:val="hybridMultilevel"/>
    <w:tmpl w:val="7FC4EAD4"/>
    <w:lvl w:ilvl="0" w:tplc="68829AB8">
      <w:start w:val="1"/>
      <w:numFmt w:val="bullet"/>
      <w:lvlText w:val="n"/>
      <w:lvlJc w:val="left"/>
      <w:pPr>
        <w:tabs>
          <w:tab w:val="num" w:pos="720"/>
        </w:tabs>
        <w:ind w:left="720" w:hanging="360"/>
      </w:pPr>
      <w:rPr>
        <w:rFonts w:ascii="Monotype Sorts" w:hAnsi="Monotype Sorts" w:hint="default"/>
      </w:rPr>
    </w:lvl>
    <w:lvl w:ilvl="1" w:tplc="1764BDB2">
      <w:numFmt w:val="bullet"/>
      <w:lvlText w:val="■"/>
      <w:lvlJc w:val="left"/>
      <w:pPr>
        <w:tabs>
          <w:tab w:val="num" w:pos="1440"/>
        </w:tabs>
        <w:ind w:left="1440" w:hanging="360"/>
      </w:pPr>
      <w:rPr>
        <w:rFonts w:ascii="Franklin Gothic Medium" w:hAnsi="Franklin Gothic Medium" w:hint="default"/>
      </w:rPr>
    </w:lvl>
    <w:lvl w:ilvl="2" w:tplc="FAF41848" w:tentative="1">
      <w:start w:val="1"/>
      <w:numFmt w:val="bullet"/>
      <w:lvlText w:val="n"/>
      <w:lvlJc w:val="left"/>
      <w:pPr>
        <w:tabs>
          <w:tab w:val="num" w:pos="2160"/>
        </w:tabs>
        <w:ind w:left="2160" w:hanging="360"/>
      </w:pPr>
      <w:rPr>
        <w:rFonts w:ascii="Monotype Sorts" w:hAnsi="Monotype Sorts" w:hint="default"/>
      </w:rPr>
    </w:lvl>
    <w:lvl w:ilvl="3" w:tplc="F20C8140" w:tentative="1">
      <w:start w:val="1"/>
      <w:numFmt w:val="bullet"/>
      <w:lvlText w:val="n"/>
      <w:lvlJc w:val="left"/>
      <w:pPr>
        <w:tabs>
          <w:tab w:val="num" w:pos="2880"/>
        </w:tabs>
        <w:ind w:left="2880" w:hanging="360"/>
      </w:pPr>
      <w:rPr>
        <w:rFonts w:ascii="Monotype Sorts" w:hAnsi="Monotype Sorts" w:hint="default"/>
      </w:rPr>
    </w:lvl>
    <w:lvl w:ilvl="4" w:tplc="FD125B7A" w:tentative="1">
      <w:start w:val="1"/>
      <w:numFmt w:val="bullet"/>
      <w:lvlText w:val="n"/>
      <w:lvlJc w:val="left"/>
      <w:pPr>
        <w:tabs>
          <w:tab w:val="num" w:pos="3600"/>
        </w:tabs>
        <w:ind w:left="3600" w:hanging="360"/>
      </w:pPr>
      <w:rPr>
        <w:rFonts w:ascii="Monotype Sorts" w:hAnsi="Monotype Sorts" w:hint="default"/>
      </w:rPr>
    </w:lvl>
    <w:lvl w:ilvl="5" w:tplc="E7761AF6" w:tentative="1">
      <w:start w:val="1"/>
      <w:numFmt w:val="bullet"/>
      <w:lvlText w:val="n"/>
      <w:lvlJc w:val="left"/>
      <w:pPr>
        <w:tabs>
          <w:tab w:val="num" w:pos="4320"/>
        </w:tabs>
        <w:ind w:left="4320" w:hanging="360"/>
      </w:pPr>
      <w:rPr>
        <w:rFonts w:ascii="Monotype Sorts" w:hAnsi="Monotype Sorts" w:hint="default"/>
      </w:rPr>
    </w:lvl>
    <w:lvl w:ilvl="6" w:tplc="C520DDB4" w:tentative="1">
      <w:start w:val="1"/>
      <w:numFmt w:val="bullet"/>
      <w:lvlText w:val="n"/>
      <w:lvlJc w:val="left"/>
      <w:pPr>
        <w:tabs>
          <w:tab w:val="num" w:pos="5040"/>
        </w:tabs>
        <w:ind w:left="5040" w:hanging="360"/>
      </w:pPr>
      <w:rPr>
        <w:rFonts w:ascii="Monotype Sorts" w:hAnsi="Monotype Sorts" w:hint="default"/>
      </w:rPr>
    </w:lvl>
    <w:lvl w:ilvl="7" w:tplc="C6740186" w:tentative="1">
      <w:start w:val="1"/>
      <w:numFmt w:val="bullet"/>
      <w:lvlText w:val="n"/>
      <w:lvlJc w:val="left"/>
      <w:pPr>
        <w:tabs>
          <w:tab w:val="num" w:pos="5760"/>
        </w:tabs>
        <w:ind w:left="5760" w:hanging="360"/>
      </w:pPr>
      <w:rPr>
        <w:rFonts w:ascii="Monotype Sorts" w:hAnsi="Monotype Sorts" w:hint="default"/>
      </w:rPr>
    </w:lvl>
    <w:lvl w:ilvl="8" w:tplc="C520058A" w:tentative="1">
      <w:start w:val="1"/>
      <w:numFmt w:val="bullet"/>
      <w:lvlText w:val="n"/>
      <w:lvlJc w:val="left"/>
      <w:pPr>
        <w:tabs>
          <w:tab w:val="num" w:pos="6480"/>
        </w:tabs>
        <w:ind w:left="6480" w:hanging="360"/>
      </w:pPr>
      <w:rPr>
        <w:rFonts w:ascii="Monotype Sorts" w:hAnsi="Monotype Sorts" w:hint="default"/>
      </w:rPr>
    </w:lvl>
  </w:abstractNum>
  <w:abstractNum w:abstractNumId="21" w15:restartNumberingAfterBreak="0">
    <w:nsid w:val="6C420028"/>
    <w:multiLevelType w:val="multilevel"/>
    <w:tmpl w:val="AD122346"/>
    <w:styleLink w:val="ChartListNumber"/>
    <w:lvl w:ilvl="0">
      <w:start w:val="1"/>
      <w:numFmt w:val="decimal"/>
      <w:pStyle w:val="ChartListNumber0"/>
      <w:lvlText w:val="%1"/>
      <w:lvlJc w:val="left"/>
      <w:pPr>
        <w:tabs>
          <w:tab w:val="num" w:pos="170"/>
        </w:tabs>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A714B"/>
    <w:multiLevelType w:val="hybridMultilevel"/>
    <w:tmpl w:val="1C926BFC"/>
    <w:lvl w:ilvl="0" w:tplc="3E5491AC">
      <w:start w:val="1"/>
      <w:numFmt w:val="bullet"/>
      <w:lvlText w:val=""/>
      <w:lvlJc w:val="left"/>
      <w:pPr>
        <w:tabs>
          <w:tab w:val="num" w:pos="720"/>
        </w:tabs>
        <w:ind w:left="720" w:hanging="360"/>
      </w:pPr>
      <w:rPr>
        <w:rFonts w:ascii="Wingdings" w:hAnsi="Wingdings" w:hint="default"/>
      </w:rPr>
    </w:lvl>
    <w:lvl w:ilvl="1" w:tplc="F58ED692">
      <w:start w:val="1"/>
      <w:numFmt w:val="bullet"/>
      <w:lvlText w:val=""/>
      <w:lvlJc w:val="left"/>
      <w:pPr>
        <w:tabs>
          <w:tab w:val="num" w:pos="1440"/>
        </w:tabs>
        <w:ind w:left="1440" w:hanging="360"/>
      </w:pPr>
      <w:rPr>
        <w:rFonts w:ascii="Wingdings" w:hAnsi="Wingdings" w:hint="default"/>
      </w:rPr>
    </w:lvl>
    <w:lvl w:ilvl="2" w:tplc="4306B9DA" w:tentative="1">
      <w:start w:val="1"/>
      <w:numFmt w:val="bullet"/>
      <w:lvlText w:val=""/>
      <w:lvlJc w:val="left"/>
      <w:pPr>
        <w:tabs>
          <w:tab w:val="num" w:pos="2160"/>
        </w:tabs>
        <w:ind w:left="2160" w:hanging="360"/>
      </w:pPr>
      <w:rPr>
        <w:rFonts w:ascii="Wingdings" w:hAnsi="Wingdings" w:hint="default"/>
      </w:rPr>
    </w:lvl>
    <w:lvl w:ilvl="3" w:tplc="5B74D872" w:tentative="1">
      <w:start w:val="1"/>
      <w:numFmt w:val="bullet"/>
      <w:lvlText w:val=""/>
      <w:lvlJc w:val="left"/>
      <w:pPr>
        <w:tabs>
          <w:tab w:val="num" w:pos="2880"/>
        </w:tabs>
        <w:ind w:left="2880" w:hanging="360"/>
      </w:pPr>
      <w:rPr>
        <w:rFonts w:ascii="Wingdings" w:hAnsi="Wingdings" w:hint="default"/>
      </w:rPr>
    </w:lvl>
    <w:lvl w:ilvl="4" w:tplc="1978758C" w:tentative="1">
      <w:start w:val="1"/>
      <w:numFmt w:val="bullet"/>
      <w:lvlText w:val=""/>
      <w:lvlJc w:val="left"/>
      <w:pPr>
        <w:tabs>
          <w:tab w:val="num" w:pos="3600"/>
        </w:tabs>
        <w:ind w:left="3600" w:hanging="360"/>
      </w:pPr>
      <w:rPr>
        <w:rFonts w:ascii="Wingdings" w:hAnsi="Wingdings" w:hint="default"/>
      </w:rPr>
    </w:lvl>
    <w:lvl w:ilvl="5" w:tplc="013EE056" w:tentative="1">
      <w:start w:val="1"/>
      <w:numFmt w:val="bullet"/>
      <w:lvlText w:val=""/>
      <w:lvlJc w:val="left"/>
      <w:pPr>
        <w:tabs>
          <w:tab w:val="num" w:pos="4320"/>
        </w:tabs>
        <w:ind w:left="4320" w:hanging="360"/>
      </w:pPr>
      <w:rPr>
        <w:rFonts w:ascii="Wingdings" w:hAnsi="Wingdings" w:hint="default"/>
      </w:rPr>
    </w:lvl>
    <w:lvl w:ilvl="6" w:tplc="019E5D6A" w:tentative="1">
      <w:start w:val="1"/>
      <w:numFmt w:val="bullet"/>
      <w:lvlText w:val=""/>
      <w:lvlJc w:val="left"/>
      <w:pPr>
        <w:tabs>
          <w:tab w:val="num" w:pos="5040"/>
        </w:tabs>
        <w:ind w:left="5040" w:hanging="360"/>
      </w:pPr>
      <w:rPr>
        <w:rFonts w:ascii="Wingdings" w:hAnsi="Wingdings" w:hint="default"/>
      </w:rPr>
    </w:lvl>
    <w:lvl w:ilvl="7" w:tplc="2286CAAA" w:tentative="1">
      <w:start w:val="1"/>
      <w:numFmt w:val="bullet"/>
      <w:lvlText w:val=""/>
      <w:lvlJc w:val="left"/>
      <w:pPr>
        <w:tabs>
          <w:tab w:val="num" w:pos="5760"/>
        </w:tabs>
        <w:ind w:left="5760" w:hanging="360"/>
      </w:pPr>
      <w:rPr>
        <w:rFonts w:ascii="Wingdings" w:hAnsi="Wingdings" w:hint="default"/>
      </w:rPr>
    </w:lvl>
    <w:lvl w:ilvl="8" w:tplc="7C2401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9B917E"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9B917E"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0F67A8"/>
    <w:multiLevelType w:val="multilevel"/>
    <w:tmpl w:val="0C090029"/>
    <w:name w:val="NoteNumber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2BB502B"/>
    <w:multiLevelType w:val="multilevel"/>
    <w:tmpl w:val="CB90F828"/>
    <w:lvl w:ilvl="0">
      <w:start w:val="1"/>
      <w:numFmt w:val="lowerLetter"/>
      <w:lvlRestart w:val="0"/>
      <w:lvlText w:val="%1"/>
      <w:lvlJc w:val="left"/>
      <w:pPr>
        <w:tabs>
          <w:tab w:val="num" w:pos="170"/>
        </w:tabs>
        <w:ind w:left="0" w:firstLine="0"/>
      </w:pPr>
      <w:rPr>
        <w:rFonts w:hint="default"/>
        <w:b/>
        <w:bCs w:val="0"/>
        <w:i w:val="0"/>
        <w:iCs w:val="0"/>
        <w:caps w:val="0"/>
        <w:smallCaps w:val="0"/>
        <w:strike w:val="0"/>
        <w:dstrike w:val="0"/>
        <w:noProof w:val="0"/>
        <w:vanish w:val="0"/>
        <w:color w:val="00497E"/>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6" w15:restartNumberingAfterBreak="0">
    <w:nsid w:val="7C3A0DF8"/>
    <w:multiLevelType w:val="multilevel"/>
    <w:tmpl w:val="E6863C72"/>
    <w:lvl w:ilvl="0">
      <w:start w:val="1"/>
      <w:numFmt w:val="none"/>
      <w:lvlRestart w:val="0"/>
      <w:suff w:val="nothing"/>
      <w:lvlText w:val="%1"/>
      <w:lvlJc w:val="left"/>
      <w:pPr>
        <w:ind w:left="0" w:firstLine="0"/>
      </w:pPr>
      <w:rPr>
        <w:rFonts w:ascii="Calibri" w:hAnsi="Calibri" w:cs="Calibri" w:hint="default"/>
        <w:b/>
        <w:i w:val="0"/>
        <w:color w:val="C6BFAB" w:themeColor="accent3"/>
        <w:position w:val="4"/>
      </w:rPr>
    </w:lvl>
    <w:lvl w:ilvl="1">
      <w:start w:val="1"/>
      <w:numFmt w:val="lowerLetter"/>
      <w:lvlText w:val="%1%2"/>
      <w:lvlJc w:val="left"/>
      <w:pPr>
        <w:tabs>
          <w:tab w:val="num" w:pos="170"/>
        </w:tabs>
        <w:ind w:left="170" w:hanging="170"/>
      </w:pPr>
      <w:rPr>
        <w:rFonts w:hint="default"/>
        <w:b/>
        <w:i w:val="0"/>
        <w:color w:val="C6BFAB"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num w:numId="1">
    <w:abstractNumId w:val="14"/>
  </w:num>
  <w:num w:numId="2">
    <w:abstractNumId w:val="17"/>
  </w:num>
  <w:num w:numId="3">
    <w:abstractNumId w:val="7"/>
  </w:num>
  <w:num w:numId="4">
    <w:abstractNumId w:val="21"/>
  </w:num>
  <w:num w:numId="5">
    <w:abstractNumId w:val="16"/>
  </w:num>
  <w:num w:numId="6">
    <w:abstractNumId w:val="11"/>
  </w:num>
  <w:num w:numId="7">
    <w:abstractNumId w:val="26"/>
  </w:num>
  <w:num w:numId="8">
    <w:abstractNumId w:val="23"/>
    <w:lvlOverride w:ilvl="0">
      <w:lvl w:ilvl="0">
        <w:start w:val="1"/>
        <w:numFmt w:val="bullet"/>
        <w:pStyle w:val="ListBullet"/>
        <w:lvlText w:val="■"/>
        <w:lvlJc w:val="left"/>
        <w:pPr>
          <w:tabs>
            <w:tab w:val="num" w:pos="284"/>
          </w:tabs>
          <w:ind w:left="284" w:hanging="284"/>
        </w:pPr>
        <w:rPr>
          <w:rFonts w:ascii="Franklin Gothic Demi" w:hAnsi="Franklin Gothic Demi" w:hint="default"/>
          <w:color w:val="006B7A" w:themeColor="accent1"/>
        </w:rPr>
      </w:lvl>
    </w:lvlOverride>
    <w:lvlOverride w:ilvl="1">
      <w:lvl w:ilvl="1">
        <w:start w:val="1"/>
        <w:numFmt w:val="bullet"/>
        <w:pStyle w:val="ListBullet2"/>
        <w:lvlText w:val="–"/>
        <w:lvlJc w:val="left"/>
        <w:pPr>
          <w:tabs>
            <w:tab w:val="num" w:pos="567"/>
          </w:tabs>
          <w:ind w:left="567" w:hanging="283"/>
        </w:pPr>
        <w:rPr>
          <w:rFonts w:ascii="Franklin Gothic Demi" w:hAnsi="Franklin Gothic Demi" w:hint="default"/>
          <w:color w:val="006B7A" w:themeColor="accent1"/>
          <w:position w:val="2"/>
        </w:rPr>
      </w:lvl>
    </w:lvlOverride>
    <w:lvlOverride w:ilvl="2">
      <w:lvl w:ilvl="2">
        <w:start w:val="1"/>
        <w:numFmt w:val="bullet"/>
        <w:pStyle w:val="ListBullet3"/>
        <w:lvlText w:val="…"/>
        <w:lvlJc w:val="left"/>
        <w:pPr>
          <w:tabs>
            <w:tab w:val="num" w:pos="992"/>
          </w:tabs>
          <w:ind w:left="992" w:hanging="425"/>
        </w:pPr>
        <w:rPr>
          <w:rFonts w:ascii="Franklin Gothic Demi" w:hAnsi="Franklin Gothic Demi" w:hint="default"/>
          <w:color w:val="EF1209"/>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8"/>
  </w:num>
  <w:num w:numId="10">
    <w:abstractNumId w:val="0"/>
  </w:num>
  <w:num w:numId="11">
    <w:abstractNumId w:val="23"/>
  </w:num>
  <w:num w:numId="12">
    <w:abstractNumId w:val="5"/>
  </w:num>
  <w:num w:numId="13">
    <w:abstractNumId w:val="10"/>
  </w:num>
  <w:num w:numId="14">
    <w:abstractNumId w:val="6"/>
  </w:num>
  <w:num w:numId="15">
    <w:abstractNumId w:val="13"/>
  </w:num>
  <w:num w:numId="16">
    <w:abstractNumId w:val="2"/>
  </w:num>
  <w:num w:numId="17">
    <w:abstractNumId w:val="1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6"/>
  </w:num>
  <w:num w:numId="30">
    <w:abstractNumId w:val="23"/>
  </w:num>
  <w:num w:numId="31">
    <w:abstractNumId w:val="5"/>
  </w:num>
  <w:num w:numId="32">
    <w:abstractNumId w:val="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8"/>
  </w:num>
  <w:num w:numId="36">
    <w:abstractNumId w:val="20"/>
  </w:num>
  <w:num w:numId="37">
    <w:abstractNumId w:val="1"/>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284"/>
  <w:clickAndTypeStyle w:val="BodyText"/>
  <w:evenAndOddHeaders/>
  <w:drawingGridHorizontalSpacing w:val="142"/>
  <w:drawingGridVerticalSpacing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0D"/>
    <w:rsid w:val="00000726"/>
    <w:rsid w:val="00001E54"/>
    <w:rsid w:val="00002721"/>
    <w:rsid w:val="0000404E"/>
    <w:rsid w:val="00004361"/>
    <w:rsid w:val="00004633"/>
    <w:rsid w:val="000053A0"/>
    <w:rsid w:val="000053BF"/>
    <w:rsid w:val="00005768"/>
    <w:rsid w:val="00006740"/>
    <w:rsid w:val="00006D68"/>
    <w:rsid w:val="000078F0"/>
    <w:rsid w:val="00010588"/>
    <w:rsid w:val="0001079A"/>
    <w:rsid w:val="00014030"/>
    <w:rsid w:val="000168BA"/>
    <w:rsid w:val="0001768A"/>
    <w:rsid w:val="00017D5A"/>
    <w:rsid w:val="00020F1F"/>
    <w:rsid w:val="00022345"/>
    <w:rsid w:val="00023A85"/>
    <w:rsid w:val="00024206"/>
    <w:rsid w:val="00024872"/>
    <w:rsid w:val="000250D4"/>
    <w:rsid w:val="00027E7C"/>
    <w:rsid w:val="0003192F"/>
    <w:rsid w:val="000331D6"/>
    <w:rsid w:val="00033228"/>
    <w:rsid w:val="00034273"/>
    <w:rsid w:val="0003540A"/>
    <w:rsid w:val="00036FD6"/>
    <w:rsid w:val="00037F9E"/>
    <w:rsid w:val="00040588"/>
    <w:rsid w:val="00042363"/>
    <w:rsid w:val="00043FE2"/>
    <w:rsid w:val="0004496B"/>
    <w:rsid w:val="00044A14"/>
    <w:rsid w:val="00044B8A"/>
    <w:rsid w:val="00045326"/>
    <w:rsid w:val="000461CB"/>
    <w:rsid w:val="000473DD"/>
    <w:rsid w:val="00047AD9"/>
    <w:rsid w:val="00051172"/>
    <w:rsid w:val="000514ED"/>
    <w:rsid w:val="000520DE"/>
    <w:rsid w:val="00052303"/>
    <w:rsid w:val="00052EA8"/>
    <w:rsid w:val="0005455A"/>
    <w:rsid w:val="00054AAC"/>
    <w:rsid w:val="00061CDB"/>
    <w:rsid w:val="00061F24"/>
    <w:rsid w:val="00063D61"/>
    <w:rsid w:val="000642B7"/>
    <w:rsid w:val="000652FC"/>
    <w:rsid w:val="00065889"/>
    <w:rsid w:val="00070083"/>
    <w:rsid w:val="000701E7"/>
    <w:rsid w:val="00070654"/>
    <w:rsid w:val="0007072A"/>
    <w:rsid w:val="000719EA"/>
    <w:rsid w:val="00072873"/>
    <w:rsid w:val="000734EA"/>
    <w:rsid w:val="00073C36"/>
    <w:rsid w:val="00075C57"/>
    <w:rsid w:val="000772FE"/>
    <w:rsid w:val="00083214"/>
    <w:rsid w:val="0008370B"/>
    <w:rsid w:val="00084462"/>
    <w:rsid w:val="000866A5"/>
    <w:rsid w:val="00086E77"/>
    <w:rsid w:val="000872FB"/>
    <w:rsid w:val="000873CC"/>
    <w:rsid w:val="00087E40"/>
    <w:rsid w:val="00090B41"/>
    <w:rsid w:val="000923A8"/>
    <w:rsid w:val="00092BC9"/>
    <w:rsid w:val="00092C85"/>
    <w:rsid w:val="00094293"/>
    <w:rsid w:val="00095461"/>
    <w:rsid w:val="00095D2C"/>
    <w:rsid w:val="0009623A"/>
    <w:rsid w:val="000978D6"/>
    <w:rsid w:val="000A04F6"/>
    <w:rsid w:val="000A3975"/>
    <w:rsid w:val="000A576A"/>
    <w:rsid w:val="000A5C76"/>
    <w:rsid w:val="000A744E"/>
    <w:rsid w:val="000A74B7"/>
    <w:rsid w:val="000B0348"/>
    <w:rsid w:val="000B1946"/>
    <w:rsid w:val="000B2602"/>
    <w:rsid w:val="000B397D"/>
    <w:rsid w:val="000B3B61"/>
    <w:rsid w:val="000B6546"/>
    <w:rsid w:val="000B6DF3"/>
    <w:rsid w:val="000C2472"/>
    <w:rsid w:val="000C2F25"/>
    <w:rsid w:val="000C35CB"/>
    <w:rsid w:val="000C438B"/>
    <w:rsid w:val="000C55C5"/>
    <w:rsid w:val="000C6776"/>
    <w:rsid w:val="000C68F0"/>
    <w:rsid w:val="000C6BC7"/>
    <w:rsid w:val="000C6F31"/>
    <w:rsid w:val="000D052F"/>
    <w:rsid w:val="000D2032"/>
    <w:rsid w:val="000D3622"/>
    <w:rsid w:val="000D43BB"/>
    <w:rsid w:val="000D4C79"/>
    <w:rsid w:val="000D53CB"/>
    <w:rsid w:val="000D738C"/>
    <w:rsid w:val="000D77ED"/>
    <w:rsid w:val="000E06BD"/>
    <w:rsid w:val="000E176F"/>
    <w:rsid w:val="000E3271"/>
    <w:rsid w:val="000E48B4"/>
    <w:rsid w:val="000E5329"/>
    <w:rsid w:val="000E5731"/>
    <w:rsid w:val="000E7163"/>
    <w:rsid w:val="000E74A9"/>
    <w:rsid w:val="000F1CEF"/>
    <w:rsid w:val="000F76FA"/>
    <w:rsid w:val="000F7DCD"/>
    <w:rsid w:val="0010339F"/>
    <w:rsid w:val="00103B41"/>
    <w:rsid w:val="00104B68"/>
    <w:rsid w:val="00106B92"/>
    <w:rsid w:val="00110AC0"/>
    <w:rsid w:val="001113DF"/>
    <w:rsid w:val="00112299"/>
    <w:rsid w:val="001132FF"/>
    <w:rsid w:val="00114298"/>
    <w:rsid w:val="00114305"/>
    <w:rsid w:val="00122CBF"/>
    <w:rsid w:val="00122EFF"/>
    <w:rsid w:val="00123574"/>
    <w:rsid w:val="00124DFE"/>
    <w:rsid w:val="00125045"/>
    <w:rsid w:val="001267A4"/>
    <w:rsid w:val="0012745B"/>
    <w:rsid w:val="00130688"/>
    <w:rsid w:val="00131ADA"/>
    <w:rsid w:val="00131EC3"/>
    <w:rsid w:val="00132A04"/>
    <w:rsid w:val="00134A2B"/>
    <w:rsid w:val="0013655A"/>
    <w:rsid w:val="001370F6"/>
    <w:rsid w:val="00137443"/>
    <w:rsid w:val="00137548"/>
    <w:rsid w:val="001377F8"/>
    <w:rsid w:val="00140070"/>
    <w:rsid w:val="001409F4"/>
    <w:rsid w:val="00141B24"/>
    <w:rsid w:val="00141E1F"/>
    <w:rsid w:val="00141FED"/>
    <w:rsid w:val="00143F02"/>
    <w:rsid w:val="00144AC4"/>
    <w:rsid w:val="00144B99"/>
    <w:rsid w:val="00145444"/>
    <w:rsid w:val="00147133"/>
    <w:rsid w:val="00147483"/>
    <w:rsid w:val="001501AA"/>
    <w:rsid w:val="00151D8E"/>
    <w:rsid w:val="0015309D"/>
    <w:rsid w:val="00154EE1"/>
    <w:rsid w:val="00155EBB"/>
    <w:rsid w:val="00156FB3"/>
    <w:rsid w:val="00157456"/>
    <w:rsid w:val="00157821"/>
    <w:rsid w:val="001605E1"/>
    <w:rsid w:val="00160701"/>
    <w:rsid w:val="001609BC"/>
    <w:rsid w:val="00160C29"/>
    <w:rsid w:val="00160FB8"/>
    <w:rsid w:val="00161E5C"/>
    <w:rsid w:val="00161FB8"/>
    <w:rsid w:val="001624ED"/>
    <w:rsid w:val="001647E4"/>
    <w:rsid w:val="00164A52"/>
    <w:rsid w:val="00164E8C"/>
    <w:rsid w:val="0016653B"/>
    <w:rsid w:val="00167266"/>
    <w:rsid w:val="00170C2C"/>
    <w:rsid w:val="00172A23"/>
    <w:rsid w:val="00172EE8"/>
    <w:rsid w:val="0017310D"/>
    <w:rsid w:val="00173B54"/>
    <w:rsid w:val="001750CC"/>
    <w:rsid w:val="001754CB"/>
    <w:rsid w:val="00176390"/>
    <w:rsid w:val="001767F9"/>
    <w:rsid w:val="00180478"/>
    <w:rsid w:val="0018077F"/>
    <w:rsid w:val="00180F64"/>
    <w:rsid w:val="00182068"/>
    <w:rsid w:val="00183D95"/>
    <w:rsid w:val="001850B1"/>
    <w:rsid w:val="001852E4"/>
    <w:rsid w:val="00185E53"/>
    <w:rsid w:val="00187D65"/>
    <w:rsid w:val="0019242D"/>
    <w:rsid w:val="0019261A"/>
    <w:rsid w:val="00192D12"/>
    <w:rsid w:val="0019345A"/>
    <w:rsid w:val="00193954"/>
    <w:rsid w:val="001951A7"/>
    <w:rsid w:val="00195939"/>
    <w:rsid w:val="00195AE9"/>
    <w:rsid w:val="0019703F"/>
    <w:rsid w:val="001970C9"/>
    <w:rsid w:val="0019737C"/>
    <w:rsid w:val="001A0013"/>
    <w:rsid w:val="001A0639"/>
    <w:rsid w:val="001A066A"/>
    <w:rsid w:val="001A08AD"/>
    <w:rsid w:val="001A0B79"/>
    <w:rsid w:val="001A1065"/>
    <w:rsid w:val="001A15F3"/>
    <w:rsid w:val="001A2A99"/>
    <w:rsid w:val="001A2D20"/>
    <w:rsid w:val="001A3C7C"/>
    <w:rsid w:val="001A4BDB"/>
    <w:rsid w:val="001A59B2"/>
    <w:rsid w:val="001A6EA7"/>
    <w:rsid w:val="001A6EAB"/>
    <w:rsid w:val="001A7147"/>
    <w:rsid w:val="001B0B61"/>
    <w:rsid w:val="001B1B01"/>
    <w:rsid w:val="001B25D3"/>
    <w:rsid w:val="001B2F94"/>
    <w:rsid w:val="001B3438"/>
    <w:rsid w:val="001B3876"/>
    <w:rsid w:val="001B4EBC"/>
    <w:rsid w:val="001B6AB5"/>
    <w:rsid w:val="001B747F"/>
    <w:rsid w:val="001B7C37"/>
    <w:rsid w:val="001C0972"/>
    <w:rsid w:val="001C0E54"/>
    <w:rsid w:val="001C24C9"/>
    <w:rsid w:val="001C3201"/>
    <w:rsid w:val="001C3B17"/>
    <w:rsid w:val="001C3CAF"/>
    <w:rsid w:val="001C3CC5"/>
    <w:rsid w:val="001C3DE5"/>
    <w:rsid w:val="001C3E07"/>
    <w:rsid w:val="001C41C7"/>
    <w:rsid w:val="001C4308"/>
    <w:rsid w:val="001C5580"/>
    <w:rsid w:val="001C6315"/>
    <w:rsid w:val="001C6F5E"/>
    <w:rsid w:val="001C7AE4"/>
    <w:rsid w:val="001D200A"/>
    <w:rsid w:val="001D2132"/>
    <w:rsid w:val="001D2D60"/>
    <w:rsid w:val="001D321F"/>
    <w:rsid w:val="001D3E1A"/>
    <w:rsid w:val="001D51C5"/>
    <w:rsid w:val="001D6065"/>
    <w:rsid w:val="001D6FD8"/>
    <w:rsid w:val="001D72A4"/>
    <w:rsid w:val="001E04F5"/>
    <w:rsid w:val="001E2A83"/>
    <w:rsid w:val="001E2D52"/>
    <w:rsid w:val="001E31FC"/>
    <w:rsid w:val="001E34F6"/>
    <w:rsid w:val="001E3D69"/>
    <w:rsid w:val="001E4E51"/>
    <w:rsid w:val="001E6A14"/>
    <w:rsid w:val="001F182E"/>
    <w:rsid w:val="001F27CA"/>
    <w:rsid w:val="001F2906"/>
    <w:rsid w:val="001F3E78"/>
    <w:rsid w:val="001F438A"/>
    <w:rsid w:val="001F45EB"/>
    <w:rsid w:val="001F5579"/>
    <w:rsid w:val="001F5611"/>
    <w:rsid w:val="001F62C5"/>
    <w:rsid w:val="001F650C"/>
    <w:rsid w:val="001F7379"/>
    <w:rsid w:val="001F79C6"/>
    <w:rsid w:val="002006F2"/>
    <w:rsid w:val="00200DE7"/>
    <w:rsid w:val="00202BB1"/>
    <w:rsid w:val="002043F1"/>
    <w:rsid w:val="002054AC"/>
    <w:rsid w:val="00206E57"/>
    <w:rsid w:val="002078CE"/>
    <w:rsid w:val="00212CA5"/>
    <w:rsid w:val="002149C9"/>
    <w:rsid w:val="002159B4"/>
    <w:rsid w:val="002164D6"/>
    <w:rsid w:val="00216C8F"/>
    <w:rsid w:val="00217000"/>
    <w:rsid w:val="0021708E"/>
    <w:rsid w:val="002175B7"/>
    <w:rsid w:val="0021770B"/>
    <w:rsid w:val="00217A75"/>
    <w:rsid w:val="0022165D"/>
    <w:rsid w:val="00221BE0"/>
    <w:rsid w:val="00222007"/>
    <w:rsid w:val="00222ACD"/>
    <w:rsid w:val="00222BF5"/>
    <w:rsid w:val="0022386A"/>
    <w:rsid w:val="002249BD"/>
    <w:rsid w:val="00225068"/>
    <w:rsid w:val="00225AD4"/>
    <w:rsid w:val="00225D69"/>
    <w:rsid w:val="00226230"/>
    <w:rsid w:val="002262E1"/>
    <w:rsid w:val="00226FEC"/>
    <w:rsid w:val="00230635"/>
    <w:rsid w:val="00231E5E"/>
    <w:rsid w:val="002321B8"/>
    <w:rsid w:val="00232F15"/>
    <w:rsid w:val="00233164"/>
    <w:rsid w:val="00234760"/>
    <w:rsid w:val="00234EAC"/>
    <w:rsid w:val="002355AE"/>
    <w:rsid w:val="00235787"/>
    <w:rsid w:val="0023701E"/>
    <w:rsid w:val="002372BF"/>
    <w:rsid w:val="00237D6C"/>
    <w:rsid w:val="002411F9"/>
    <w:rsid w:val="0024172A"/>
    <w:rsid w:val="002425E6"/>
    <w:rsid w:val="00242E53"/>
    <w:rsid w:val="00243A84"/>
    <w:rsid w:val="00244192"/>
    <w:rsid w:val="0025014B"/>
    <w:rsid w:val="002501B3"/>
    <w:rsid w:val="00252A3F"/>
    <w:rsid w:val="00252BEA"/>
    <w:rsid w:val="0025306F"/>
    <w:rsid w:val="0025379D"/>
    <w:rsid w:val="00253D9A"/>
    <w:rsid w:val="00254D0F"/>
    <w:rsid w:val="00255187"/>
    <w:rsid w:val="00255341"/>
    <w:rsid w:val="00256101"/>
    <w:rsid w:val="002568C5"/>
    <w:rsid w:val="00257809"/>
    <w:rsid w:val="00257F35"/>
    <w:rsid w:val="002613B7"/>
    <w:rsid w:val="00261A76"/>
    <w:rsid w:val="00262F13"/>
    <w:rsid w:val="00262F25"/>
    <w:rsid w:val="002646BA"/>
    <w:rsid w:val="002658EB"/>
    <w:rsid w:val="00265B5E"/>
    <w:rsid w:val="0027008A"/>
    <w:rsid w:val="00270516"/>
    <w:rsid w:val="00271706"/>
    <w:rsid w:val="00273D7E"/>
    <w:rsid w:val="00274BEB"/>
    <w:rsid w:val="00275125"/>
    <w:rsid w:val="002753E2"/>
    <w:rsid w:val="002761F9"/>
    <w:rsid w:val="00276EED"/>
    <w:rsid w:val="00280D84"/>
    <w:rsid w:val="00280FB4"/>
    <w:rsid w:val="002812E4"/>
    <w:rsid w:val="002829D9"/>
    <w:rsid w:val="00284EFA"/>
    <w:rsid w:val="00287996"/>
    <w:rsid w:val="00290010"/>
    <w:rsid w:val="00290273"/>
    <w:rsid w:val="00290880"/>
    <w:rsid w:val="002908A1"/>
    <w:rsid w:val="00291652"/>
    <w:rsid w:val="0029248B"/>
    <w:rsid w:val="00292955"/>
    <w:rsid w:val="00292E93"/>
    <w:rsid w:val="00293F2D"/>
    <w:rsid w:val="00295012"/>
    <w:rsid w:val="00295145"/>
    <w:rsid w:val="002A09E0"/>
    <w:rsid w:val="002A4386"/>
    <w:rsid w:val="002A5062"/>
    <w:rsid w:val="002A63B7"/>
    <w:rsid w:val="002A7161"/>
    <w:rsid w:val="002A7183"/>
    <w:rsid w:val="002A75D6"/>
    <w:rsid w:val="002A7FBB"/>
    <w:rsid w:val="002B07A3"/>
    <w:rsid w:val="002B1B67"/>
    <w:rsid w:val="002B418C"/>
    <w:rsid w:val="002B68C2"/>
    <w:rsid w:val="002B71A8"/>
    <w:rsid w:val="002B76B3"/>
    <w:rsid w:val="002C0234"/>
    <w:rsid w:val="002C0B69"/>
    <w:rsid w:val="002C1088"/>
    <w:rsid w:val="002C4DAF"/>
    <w:rsid w:val="002C5E17"/>
    <w:rsid w:val="002D0628"/>
    <w:rsid w:val="002D0F84"/>
    <w:rsid w:val="002D12E6"/>
    <w:rsid w:val="002D16DF"/>
    <w:rsid w:val="002D17B5"/>
    <w:rsid w:val="002D1EA5"/>
    <w:rsid w:val="002D219D"/>
    <w:rsid w:val="002D245D"/>
    <w:rsid w:val="002D30F9"/>
    <w:rsid w:val="002D3B4C"/>
    <w:rsid w:val="002D4888"/>
    <w:rsid w:val="002D4C2F"/>
    <w:rsid w:val="002D5DA9"/>
    <w:rsid w:val="002D7073"/>
    <w:rsid w:val="002D7B93"/>
    <w:rsid w:val="002E0543"/>
    <w:rsid w:val="002E3000"/>
    <w:rsid w:val="002E42E5"/>
    <w:rsid w:val="002E4B26"/>
    <w:rsid w:val="002E5345"/>
    <w:rsid w:val="002E641C"/>
    <w:rsid w:val="002E7FE4"/>
    <w:rsid w:val="002F0252"/>
    <w:rsid w:val="002F0378"/>
    <w:rsid w:val="002F0710"/>
    <w:rsid w:val="002F2AD2"/>
    <w:rsid w:val="002F2DAD"/>
    <w:rsid w:val="002F3BED"/>
    <w:rsid w:val="002F54D7"/>
    <w:rsid w:val="003001AD"/>
    <w:rsid w:val="00300FE4"/>
    <w:rsid w:val="00302B19"/>
    <w:rsid w:val="003034B4"/>
    <w:rsid w:val="003034DD"/>
    <w:rsid w:val="003037CA"/>
    <w:rsid w:val="00303E96"/>
    <w:rsid w:val="003047C7"/>
    <w:rsid w:val="00304C10"/>
    <w:rsid w:val="00305026"/>
    <w:rsid w:val="00305777"/>
    <w:rsid w:val="003126F2"/>
    <w:rsid w:val="003137B8"/>
    <w:rsid w:val="00314C70"/>
    <w:rsid w:val="003156D6"/>
    <w:rsid w:val="00316FB2"/>
    <w:rsid w:val="003202CB"/>
    <w:rsid w:val="00320797"/>
    <w:rsid w:val="00320B11"/>
    <w:rsid w:val="00323985"/>
    <w:rsid w:val="003239D9"/>
    <w:rsid w:val="003247B1"/>
    <w:rsid w:val="00324AC0"/>
    <w:rsid w:val="00325A3E"/>
    <w:rsid w:val="00326D2F"/>
    <w:rsid w:val="003331E1"/>
    <w:rsid w:val="00333489"/>
    <w:rsid w:val="003336FB"/>
    <w:rsid w:val="00337419"/>
    <w:rsid w:val="00337449"/>
    <w:rsid w:val="00340000"/>
    <w:rsid w:val="00342223"/>
    <w:rsid w:val="00343707"/>
    <w:rsid w:val="00343F68"/>
    <w:rsid w:val="003443F1"/>
    <w:rsid w:val="00344521"/>
    <w:rsid w:val="00345A25"/>
    <w:rsid w:val="00347146"/>
    <w:rsid w:val="0034759A"/>
    <w:rsid w:val="00347926"/>
    <w:rsid w:val="00347B60"/>
    <w:rsid w:val="003506C7"/>
    <w:rsid w:val="00350F84"/>
    <w:rsid w:val="0035105D"/>
    <w:rsid w:val="00352EC0"/>
    <w:rsid w:val="00353EF0"/>
    <w:rsid w:val="00354223"/>
    <w:rsid w:val="003561F3"/>
    <w:rsid w:val="0035659D"/>
    <w:rsid w:val="00357024"/>
    <w:rsid w:val="00357067"/>
    <w:rsid w:val="003573D1"/>
    <w:rsid w:val="00357593"/>
    <w:rsid w:val="00357B8F"/>
    <w:rsid w:val="00360168"/>
    <w:rsid w:val="003634D9"/>
    <w:rsid w:val="00363A6B"/>
    <w:rsid w:val="00363B17"/>
    <w:rsid w:val="00363C20"/>
    <w:rsid w:val="00364961"/>
    <w:rsid w:val="00364BF0"/>
    <w:rsid w:val="00365419"/>
    <w:rsid w:val="0036552C"/>
    <w:rsid w:val="00370C88"/>
    <w:rsid w:val="0037127D"/>
    <w:rsid w:val="0037167C"/>
    <w:rsid w:val="003718EA"/>
    <w:rsid w:val="003726AE"/>
    <w:rsid w:val="0037281D"/>
    <w:rsid w:val="00372E7F"/>
    <w:rsid w:val="00373553"/>
    <w:rsid w:val="0037389E"/>
    <w:rsid w:val="00375A3B"/>
    <w:rsid w:val="00375BA6"/>
    <w:rsid w:val="00375F1A"/>
    <w:rsid w:val="003772AE"/>
    <w:rsid w:val="003818BB"/>
    <w:rsid w:val="003822C2"/>
    <w:rsid w:val="003830ED"/>
    <w:rsid w:val="00383FDA"/>
    <w:rsid w:val="00384461"/>
    <w:rsid w:val="00384703"/>
    <w:rsid w:val="0038664C"/>
    <w:rsid w:val="00387CB5"/>
    <w:rsid w:val="00390399"/>
    <w:rsid w:val="00392952"/>
    <w:rsid w:val="00394D91"/>
    <w:rsid w:val="00395D18"/>
    <w:rsid w:val="003966C8"/>
    <w:rsid w:val="00396ABD"/>
    <w:rsid w:val="00396F36"/>
    <w:rsid w:val="00397DC8"/>
    <w:rsid w:val="00397EF7"/>
    <w:rsid w:val="003A1DFF"/>
    <w:rsid w:val="003A20B3"/>
    <w:rsid w:val="003A22CD"/>
    <w:rsid w:val="003A24B5"/>
    <w:rsid w:val="003A28F7"/>
    <w:rsid w:val="003A3771"/>
    <w:rsid w:val="003A3CC8"/>
    <w:rsid w:val="003A4189"/>
    <w:rsid w:val="003B0F2C"/>
    <w:rsid w:val="003B187C"/>
    <w:rsid w:val="003B2B11"/>
    <w:rsid w:val="003B3BE9"/>
    <w:rsid w:val="003B3D27"/>
    <w:rsid w:val="003B490A"/>
    <w:rsid w:val="003B4AAA"/>
    <w:rsid w:val="003B5EBE"/>
    <w:rsid w:val="003B5F65"/>
    <w:rsid w:val="003B7167"/>
    <w:rsid w:val="003C166E"/>
    <w:rsid w:val="003C3135"/>
    <w:rsid w:val="003C35F2"/>
    <w:rsid w:val="003C392D"/>
    <w:rsid w:val="003C3A35"/>
    <w:rsid w:val="003C420B"/>
    <w:rsid w:val="003C4883"/>
    <w:rsid w:val="003C50D4"/>
    <w:rsid w:val="003C53D9"/>
    <w:rsid w:val="003C62AC"/>
    <w:rsid w:val="003C78A6"/>
    <w:rsid w:val="003C7F22"/>
    <w:rsid w:val="003D007E"/>
    <w:rsid w:val="003D0A62"/>
    <w:rsid w:val="003D139A"/>
    <w:rsid w:val="003D2A2B"/>
    <w:rsid w:val="003D41EA"/>
    <w:rsid w:val="003D5131"/>
    <w:rsid w:val="003D5537"/>
    <w:rsid w:val="003D5CF0"/>
    <w:rsid w:val="003D6FA5"/>
    <w:rsid w:val="003D705A"/>
    <w:rsid w:val="003D7406"/>
    <w:rsid w:val="003D764D"/>
    <w:rsid w:val="003E047D"/>
    <w:rsid w:val="003E1F01"/>
    <w:rsid w:val="003E428F"/>
    <w:rsid w:val="003E547F"/>
    <w:rsid w:val="003E5943"/>
    <w:rsid w:val="003E69FA"/>
    <w:rsid w:val="003E7141"/>
    <w:rsid w:val="003F200E"/>
    <w:rsid w:val="003F3859"/>
    <w:rsid w:val="003F3BD6"/>
    <w:rsid w:val="003F3E18"/>
    <w:rsid w:val="003F4D9B"/>
    <w:rsid w:val="003F64CC"/>
    <w:rsid w:val="003F6ACF"/>
    <w:rsid w:val="003F76F4"/>
    <w:rsid w:val="00402DAF"/>
    <w:rsid w:val="004049F0"/>
    <w:rsid w:val="00407097"/>
    <w:rsid w:val="00407359"/>
    <w:rsid w:val="004073EA"/>
    <w:rsid w:val="00407B9C"/>
    <w:rsid w:val="00411FDB"/>
    <w:rsid w:val="0041559F"/>
    <w:rsid w:val="00415E68"/>
    <w:rsid w:val="00416055"/>
    <w:rsid w:val="004167EA"/>
    <w:rsid w:val="0041733A"/>
    <w:rsid w:val="004201BE"/>
    <w:rsid w:val="00420C8B"/>
    <w:rsid w:val="004214DE"/>
    <w:rsid w:val="00422897"/>
    <w:rsid w:val="00422A07"/>
    <w:rsid w:val="00423461"/>
    <w:rsid w:val="00425BAF"/>
    <w:rsid w:val="0042634F"/>
    <w:rsid w:val="004263AE"/>
    <w:rsid w:val="0043078A"/>
    <w:rsid w:val="00430923"/>
    <w:rsid w:val="00430E53"/>
    <w:rsid w:val="00431443"/>
    <w:rsid w:val="00431B6D"/>
    <w:rsid w:val="00431F8D"/>
    <w:rsid w:val="00435332"/>
    <w:rsid w:val="00435EE9"/>
    <w:rsid w:val="00436459"/>
    <w:rsid w:val="00436EC7"/>
    <w:rsid w:val="00437D32"/>
    <w:rsid w:val="00440E6F"/>
    <w:rsid w:val="004411DB"/>
    <w:rsid w:val="0044162F"/>
    <w:rsid w:val="00441DA4"/>
    <w:rsid w:val="004426FA"/>
    <w:rsid w:val="00443E7D"/>
    <w:rsid w:val="00444736"/>
    <w:rsid w:val="00444D2D"/>
    <w:rsid w:val="004452F5"/>
    <w:rsid w:val="00445D6D"/>
    <w:rsid w:val="00446F1A"/>
    <w:rsid w:val="0044762A"/>
    <w:rsid w:val="004511A8"/>
    <w:rsid w:val="00451CC6"/>
    <w:rsid w:val="00451F31"/>
    <w:rsid w:val="004522BD"/>
    <w:rsid w:val="00453CC0"/>
    <w:rsid w:val="0045456F"/>
    <w:rsid w:val="0045559C"/>
    <w:rsid w:val="004559DC"/>
    <w:rsid w:val="004562C8"/>
    <w:rsid w:val="004563C5"/>
    <w:rsid w:val="00457271"/>
    <w:rsid w:val="00457CDE"/>
    <w:rsid w:val="00457E0A"/>
    <w:rsid w:val="00461B22"/>
    <w:rsid w:val="00463768"/>
    <w:rsid w:val="0046437D"/>
    <w:rsid w:val="004649C6"/>
    <w:rsid w:val="00465609"/>
    <w:rsid w:val="004660B0"/>
    <w:rsid w:val="00466976"/>
    <w:rsid w:val="00466F91"/>
    <w:rsid w:val="0046709B"/>
    <w:rsid w:val="00467D80"/>
    <w:rsid w:val="00467FBA"/>
    <w:rsid w:val="00470EA9"/>
    <w:rsid w:val="0047158C"/>
    <w:rsid w:val="0047188E"/>
    <w:rsid w:val="00471A32"/>
    <w:rsid w:val="00471B88"/>
    <w:rsid w:val="00471FDA"/>
    <w:rsid w:val="00471FF1"/>
    <w:rsid w:val="0047263E"/>
    <w:rsid w:val="004742B8"/>
    <w:rsid w:val="00475A61"/>
    <w:rsid w:val="00475BA5"/>
    <w:rsid w:val="0047640F"/>
    <w:rsid w:val="004813BC"/>
    <w:rsid w:val="00481E74"/>
    <w:rsid w:val="00482B0E"/>
    <w:rsid w:val="004837E9"/>
    <w:rsid w:val="004851C6"/>
    <w:rsid w:val="0048784C"/>
    <w:rsid w:val="0049011A"/>
    <w:rsid w:val="00491C57"/>
    <w:rsid w:val="0049244A"/>
    <w:rsid w:val="00492E43"/>
    <w:rsid w:val="00495E87"/>
    <w:rsid w:val="00496CAC"/>
    <w:rsid w:val="00497862"/>
    <w:rsid w:val="004A0276"/>
    <w:rsid w:val="004A02A0"/>
    <w:rsid w:val="004A1B3F"/>
    <w:rsid w:val="004A1B8D"/>
    <w:rsid w:val="004A217A"/>
    <w:rsid w:val="004A26AE"/>
    <w:rsid w:val="004A272C"/>
    <w:rsid w:val="004A2B30"/>
    <w:rsid w:val="004A375F"/>
    <w:rsid w:val="004A3FA1"/>
    <w:rsid w:val="004A5694"/>
    <w:rsid w:val="004A570B"/>
    <w:rsid w:val="004A6747"/>
    <w:rsid w:val="004A6A04"/>
    <w:rsid w:val="004A7F86"/>
    <w:rsid w:val="004B0C23"/>
    <w:rsid w:val="004B1755"/>
    <w:rsid w:val="004B1CE6"/>
    <w:rsid w:val="004B22A1"/>
    <w:rsid w:val="004B4881"/>
    <w:rsid w:val="004B602B"/>
    <w:rsid w:val="004B65E3"/>
    <w:rsid w:val="004B781D"/>
    <w:rsid w:val="004B7EA5"/>
    <w:rsid w:val="004C0B7D"/>
    <w:rsid w:val="004C1481"/>
    <w:rsid w:val="004C1C7D"/>
    <w:rsid w:val="004C31EE"/>
    <w:rsid w:val="004C50F9"/>
    <w:rsid w:val="004C5201"/>
    <w:rsid w:val="004C54C7"/>
    <w:rsid w:val="004C5593"/>
    <w:rsid w:val="004C57F5"/>
    <w:rsid w:val="004C6101"/>
    <w:rsid w:val="004C7CC1"/>
    <w:rsid w:val="004D25CA"/>
    <w:rsid w:val="004D2679"/>
    <w:rsid w:val="004D3F73"/>
    <w:rsid w:val="004D3FB4"/>
    <w:rsid w:val="004D515B"/>
    <w:rsid w:val="004D55B1"/>
    <w:rsid w:val="004D5649"/>
    <w:rsid w:val="004D6AA5"/>
    <w:rsid w:val="004D76D8"/>
    <w:rsid w:val="004E080F"/>
    <w:rsid w:val="004E097D"/>
    <w:rsid w:val="004E0CD6"/>
    <w:rsid w:val="004E0D54"/>
    <w:rsid w:val="004E0FE7"/>
    <w:rsid w:val="004E1233"/>
    <w:rsid w:val="004E13DA"/>
    <w:rsid w:val="004E3854"/>
    <w:rsid w:val="004E4578"/>
    <w:rsid w:val="004E4A71"/>
    <w:rsid w:val="004E5295"/>
    <w:rsid w:val="004E65AD"/>
    <w:rsid w:val="004E723F"/>
    <w:rsid w:val="004E7620"/>
    <w:rsid w:val="004F115A"/>
    <w:rsid w:val="004F1824"/>
    <w:rsid w:val="004F2C02"/>
    <w:rsid w:val="004F57BA"/>
    <w:rsid w:val="004F5877"/>
    <w:rsid w:val="004F6255"/>
    <w:rsid w:val="004F635E"/>
    <w:rsid w:val="004F7137"/>
    <w:rsid w:val="004F76C9"/>
    <w:rsid w:val="004F785D"/>
    <w:rsid w:val="004F7DFE"/>
    <w:rsid w:val="00500292"/>
    <w:rsid w:val="00500DAC"/>
    <w:rsid w:val="00500DE6"/>
    <w:rsid w:val="00501A93"/>
    <w:rsid w:val="00502303"/>
    <w:rsid w:val="005030D2"/>
    <w:rsid w:val="0050505D"/>
    <w:rsid w:val="00505430"/>
    <w:rsid w:val="00505BE4"/>
    <w:rsid w:val="00505C88"/>
    <w:rsid w:val="005060A4"/>
    <w:rsid w:val="00507193"/>
    <w:rsid w:val="0051089E"/>
    <w:rsid w:val="005109E1"/>
    <w:rsid w:val="00511610"/>
    <w:rsid w:val="00511766"/>
    <w:rsid w:val="00512EC0"/>
    <w:rsid w:val="00513BB2"/>
    <w:rsid w:val="005140FE"/>
    <w:rsid w:val="00515C1F"/>
    <w:rsid w:val="00515CB5"/>
    <w:rsid w:val="00516988"/>
    <w:rsid w:val="00516EAF"/>
    <w:rsid w:val="005170CE"/>
    <w:rsid w:val="00520C6C"/>
    <w:rsid w:val="00523924"/>
    <w:rsid w:val="00524339"/>
    <w:rsid w:val="005243C0"/>
    <w:rsid w:val="00525404"/>
    <w:rsid w:val="00525FEC"/>
    <w:rsid w:val="0052602A"/>
    <w:rsid w:val="00527875"/>
    <w:rsid w:val="00527E7D"/>
    <w:rsid w:val="0053103E"/>
    <w:rsid w:val="0053282E"/>
    <w:rsid w:val="00534F47"/>
    <w:rsid w:val="00535F8B"/>
    <w:rsid w:val="005362A1"/>
    <w:rsid w:val="0053699A"/>
    <w:rsid w:val="00536D4D"/>
    <w:rsid w:val="005409B7"/>
    <w:rsid w:val="00541050"/>
    <w:rsid w:val="00542D38"/>
    <w:rsid w:val="00543728"/>
    <w:rsid w:val="005441EE"/>
    <w:rsid w:val="00547AE8"/>
    <w:rsid w:val="00550FDA"/>
    <w:rsid w:val="00551404"/>
    <w:rsid w:val="005514A0"/>
    <w:rsid w:val="00551A1C"/>
    <w:rsid w:val="00551EC8"/>
    <w:rsid w:val="00552321"/>
    <w:rsid w:val="00552D9A"/>
    <w:rsid w:val="00555AF3"/>
    <w:rsid w:val="00556412"/>
    <w:rsid w:val="0056021E"/>
    <w:rsid w:val="00560701"/>
    <w:rsid w:val="00560CFE"/>
    <w:rsid w:val="00563F34"/>
    <w:rsid w:val="00564F10"/>
    <w:rsid w:val="0056529B"/>
    <w:rsid w:val="005668F8"/>
    <w:rsid w:val="00566BC3"/>
    <w:rsid w:val="005675B7"/>
    <w:rsid w:val="0056775D"/>
    <w:rsid w:val="00570161"/>
    <w:rsid w:val="005709FE"/>
    <w:rsid w:val="00570FDC"/>
    <w:rsid w:val="005718F0"/>
    <w:rsid w:val="00571E16"/>
    <w:rsid w:val="0057294A"/>
    <w:rsid w:val="005738E7"/>
    <w:rsid w:val="00573B72"/>
    <w:rsid w:val="00573CCD"/>
    <w:rsid w:val="00573FA9"/>
    <w:rsid w:val="00575AC1"/>
    <w:rsid w:val="005762DE"/>
    <w:rsid w:val="005767CE"/>
    <w:rsid w:val="00576C2E"/>
    <w:rsid w:val="005800E2"/>
    <w:rsid w:val="0058054D"/>
    <w:rsid w:val="00580E06"/>
    <w:rsid w:val="00580E4E"/>
    <w:rsid w:val="00581B16"/>
    <w:rsid w:val="00582149"/>
    <w:rsid w:val="00583BD9"/>
    <w:rsid w:val="005852CF"/>
    <w:rsid w:val="0058597E"/>
    <w:rsid w:val="0058700C"/>
    <w:rsid w:val="00587291"/>
    <w:rsid w:val="0058744D"/>
    <w:rsid w:val="0059045E"/>
    <w:rsid w:val="00590988"/>
    <w:rsid w:val="005912DB"/>
    <w:rsid w:val="005912F9"/>
    <w:rsid w:val="00591C8C"/>
    <w:rsid w:val="00591E5D"/>
    <w:rsid w:val="00591EDC"/>
    <w:rsid w:val="00591F69"/>
    <w:rsid w:val="00592EA1"/>
    <w:rsid w:val="00593E38"/>
    <w:rsid w:val="00594CAA"/>
    <w:rsid w:val="005952CE"/>
    <w:rsid w:val="005961AB"/>
    <w:rsid w:val="00596EBF"/>
    <w:rsid w:val="00597C4B"/>
    <w:rsid w:val="005A1AFB"/>
    <w:rsid w:val="005A224A"/>
    <w:rsid w:val="005A2F9F"/>
    <w:rsid w:val="005A4194"/>
    <w:rsid w:val="005A6134"/>
    <w:rsid w:val="005A613E"/>
    <w:rsid w:val="005A73D7"/>
    <w:rsid w:val="005B1FD7"/>
    <w:rsid w:val="005B2377"/>
    <w:rsid w:val="005B30E1"/>
    <w:rsid w:val="005B3A90"/>
    <w:rsid w:val="005B435E"/>
    <w:rsid w:val="005B4670"/>
    <w:rsid w:val="005B6EBC"/>
    <w:rsid w:val="005B7BA6"/>
    <w:rsid w:val="005C01FA"/>
    <w:rsid w:val="005C0298"/>
    <w:rsid w:val="005C046D"/>
    <w:rsid w:val="005C05B7"/>
    <w:rsid w:val="005C1EFC"/>
    <w:rsid w:val="005C2384"/>
    <w:rsid w:val="005C386A"/>
    <w:rsid w:val="005C42B4"/>
    <w:rsid w:val="005C5257"/>
    <w:rsid w:val="005C5337"/>
    <w:rsid w:val="005C5FB3"/>
    <w:rsid w:val="005C6507"/>
    <w:rsid w:val="005C76A4"/>
    <w:rsid w:val="005C7918"/>
    <w:rsid w:val="005D09E2"/>
    <w:rsid w:val="005D0C5F"/>
    <w:rsid w:val="005D1813"/>
    <w:rsid w:val="005D3C6B"/>
    <w:rsid w:val="005D4B59"/>
    <w:rsid w:val="005D5B85"/>
    <w:rsid w:val="005D693A"/>
    <w:rsid w:val="005D6F19"/>
    <w:rsid w:val="005D7C32"/>
    <w:rsid w:val="005E05ED"/>
    <w:rsid w:val="005E1D27"/>
    <w:rsid w:val="005E22C2"/>
    <w:rsid w:val="005E2466"/>
    <w:rsid w:val="005E3CD9"/>
    <w:rsid w:val="005E43A8"/>
    <w:rsid w:val="005E4B08"/>
    <w:rsid w:val="005E6B5F"/>
    <w:rsid w:val="005E710A"/>
    <w:rsid w:val="005F2866"/>
    <w:rsid w:val="005F2E4B"/>
    <w:rsid w:val="005F33C7"/>
    <w:rsid w:val="005F3802"/>
    <w:rsid w:val="005F3A7A"/>
    <w:rsid w:val="005F3CBA"/>
    <w:rsid w:val="005F42E6"/>
    <w:rsid w:val="005F5898"/>
    <w:rsid w:val="005F636C"/>
    <w:rsid w:val="005F689F"/>
    <w:rsid w:val="005F6E78"/>
    <w:rsid w:val="006007DC"/>
    <w:rsid w:val="00600CD0"/>
    <w:rsid w:val="00600F49"/>
    <w:rsid w:val="0060478E"/>
    <w:rsid w:val="0060506D"/>
    <w:rsid w:val="00605AC1"/>
    <w:rsid w:val="00605D38"/>
    <w:rsid w:val="00606083"/>
    <w:rsid w:val="00606312"/>
    <w:rsid w:val="00606604"/>
    <w:rsid w:val="006068BD"/>
    <w:rsid w:val="00606B6D"/>
    <w:rsid w:val="006104AF"/>
    <w:rsid w:val="00610CC1"/>
    <w:rsid w:val="006132D8"/>
    <w:rsid w:val="00613616"/>
    <w:rsid w:val="0061412E"/>
    <w:rsid w:val="00614E26"/>
    <w:rsid w:val="00615336"/>
    <w:rsid w:val="00616E6E"/>
    <w:rsid w:val="00620E39"/>
    <w:rsid w:val="00621066"/>
    <w:rsid w:val="006214DF"/>
    <w:rsid w:val="00621B0C"/>
    <w:rsid w:val="006220D4"/>
    <w:rsid w:val="00622549"/>
    <w:rsid w:val="00624E85"/>
    <w:rsid w:val="00624F08"/>
    <w:rsid w:val="00627DF4"/>
    <w:rsid w:val="0063174F"/>
    <w:rsid w:val="00631A1E"/>
    <w:rsid w:val="00632AF6"/>
    <w:rsid w:val="00636B5B"/>
    <w:rsid w:val="00637168"/>
    <w:rsid w:val="00640507"/>
    <w:rsid w:val="00640A54"/>
    <w:rsid w:val="00640BE2"/>
    <w:rsid w:val="006417B1"/>
    <w:rsid w:val="006448EE"/>
    <w:rsid w:val="0064735E"/>
    <w:rsid w:val="0065080C"/>
    <w:rsid w:val="00650F3E"/>
    <w:rsid w:val="0065255D"/>
    <w:rsid w:val="00652CE1"/>
    <w:rsid w:val="00654141"/>
    <w:rsid w:val="006544F3"/>
    <w:rsid w:val="00655656"/>
    <w:rsid w:val="00656D2E"/>
    <w:rsid w:val="00660B2D"/>
    <w:rsid w:val="00661D2C"/>
    <w:rsid w:val="00661FA5"/>
    <w:rsid w:val="00663324"/>
    <w:rsid w:val="0066403C"/>
    <w:rsid w:val="006640D6"/>
    <w:rsid w:val="00664723"/>
    <w:rsid w:val="00665E4E"/>
    <w:rsid w:val="00667378"/>
    <w:rsid w:val="006677C1"/>
    <w:rsid w:val="0067052D"/>
    <w:rsid w:val="00670536"/>
    <w:rsid w:val="006712CD"/>
    <w:rsid w:val="00672603"/>
    <w:rsid w:val="006727DF"/>
    <w:rsid w:val="006730DA"/>
    <w:rsid w:val="00673C24"/>
    <w:rsid w:val="00674239"/>
    <w:rsid w:val="006774D5"/>
    <w:rsid w:val="00677846"/>
    <w:rsid w:val="00677ED3"/>
    <w:rsid w:val="0068075B"/>
    <w:rsid w:val="00682820"/>
    <w:rsid w:val="00683076"/>
    <w:rsid w:val="00683E41"/>
    <w:rsid w:val="00686561"/>
    <w:rsid w:val="00686E72"/>
    <w:rsid w:val="0069153C"/>
    <w:rsid w:val="006919D2"/>
    <w:rsid w:val="0069258E"/>
    <w:rsid w:val="006925EF"/>
    <w:rsid w:val="00692803"/>
    <w:rsid w:val="006931A6"/>
    <w:rsid w:val="00693A4D"/>
    <w:rsid w:val="00693CD2"/>
    <w:rsid w:val="00693EAE"/>
    <w:rsid w:val="00695C93"/>
    <w:rsid w:val="006A54F6"/>
    <w:rsid w:val="006A5D87"/>
    <w:rsid w:val="006A614B"/>
    <w:rsid w:val="006A62FB"/>
    <w:rsid w:val="006A78D4"/>
    <w:rsid w:val="006B21B6"/>
    <w:rsid w:val="006B2949"/>
    <w:rsid w:val="006B3382"/>
    <w:rsid w:val="006B34C3"/>
    <w:rsid w:val="006B352F"/>
    <w:rsid w:val="006B3FE2"/>
    <w:rsid w:val="006B6291"/>
    <w:rsid w:val="006B62AE"/>
    <w:rsid w:val="006B7980"/>
    <w:rsid w:val="006C18E6"/>
    <w:rsid w:val="006C27C9"/>
    <w:rsid w:val="006C3639"/>
    <w:rsid w:val="006C4922"/>
    <w:rsid w:val="006C4A9A"/>
    <w:rsid w:val="006C4FF3"/>
    <w:rsid w:val="006C5856"/>
    <w:rsid w:val="006D0F27"/>
    <w:rsid w:val="006D10AA"/>
    <w:rsid w:val="006D1E5E"/>
    <w:rsid w:val="006D2690"/>
    <w:rsid w:val="006D4107"/>
    <w:rsid w:val="006D44B3"/>
    <w:rsid w:val="006D4C53"/>
    <w:rsid w:val="006D4DC7"/>
    <w:rsid w:val="006D5699"/>
    <w:rsid w:val="006D5994"/>
    <w:rsid w:val="006D6517"/>
    <w:rsid w:val="006D7BDA"/>
    <w:rsid w:val="006E0165"/>
    <w:rsid w:val="006E02EF"/>
    <w:rsid w:val="006E03FF"/>
    <w:rsid w:val="006E1629"/>
    <w:rsid w:val="006E2350"/>
    <w:rsid w:val="006E2EE9"/>
    <w:rsid w:val="006E31DA"/>
    <w:rsid w:val="006E4CA3"/>
    <w:rsid w:val="006E5440"/>
    <w:rsid w:val="006E5DA7"/>
    <w:rsid w:val="006F043F"/>
    <w:rsid w:val="006F1603"/>
    <w:rsid w:val="006F16A2"/>
    <w:rsid w:val="006F1BD6"/>
    <w:rsid w:val="006F3F36"/>
    <w:rsid w:val="006F5DA3"/>
    <w:rsid w:val="006F5DDC"/>
    <w:rsid w:val="006F644B"/>
    <w:rsid w:val="00702F7B"/>
    <w:rsid w:val="00704A2B"/>
    <w:rsid w:val="00704B41"/>
    <w:rsid w:val="00706285"/>
    <w:rsid w:val="00706740"/>
    <w:rsid w:val="00706EE6"/>
    <w:rsid w:val="0071092E"/>
    <w:rsid w:val="00712004"/>
    <w:rsid w:val="0071220B"/>
    <w:rsid w:val="00712A1F"/>
    <w:rsid w:val="00712E5B"/>
    <w:rsid w:val="0071480D"/>
    <w:rsid w:val="00715318"/>
    <w:rsid w:val="0071617D"/>
    <w:rsid w:val="0071647D"/>
    <w:rsid w:val="00721CE9"/>
    <w:rsid w:val="00723662"/>
    <w:rsid w:val="00723738"/>
    <w:rsid w:val="00723BE6"/>
    <w:rsid w:val="007248CB"/>
    <w:rsid w:val="0072548C"/>
    <w:rsid w:val="00726AA9"/>
    <w:rsid w:val="00727552"/>
    <w:rsid w:val="00727E69"/>
    <w:rsid w:val="0073118C"/>
    <w:rsid w:val="00731FC7"/>
    <w:rsid w:val="0073267D"/>
    <w:rsid w:val="00732BC9"/>
    <w:rsid w:val="007339CA"/>
    <w:rsid w:val="007348DE"/>
    <w:rsid w:val="00736E88"/>
    <w:rsid w:val="00740354"/>
    <w:rsid w:val="007415B7"/>
    <w:rsid w:val="00742A5F"/>
    <w:rsid w:val="007438FF"/>
    <w:rsid w:val="00745458"/>
    <w:rsid w:val="00745B58"/>
    <w:rsid w:val="0074727D"/>
    <w:rsid w:val="007505E8"/>
    <w:rsid w:val="00752FC4"/>
    <w:rsid w:val="007531FF"/>
    <w:rsid w:val="00753209"/>
    <w:rsid w:val="0075413C"/>
    <w:rsid w:val="007563C2"/>
    <w:rsid w:val="00756880"/>
    <w:rsid w:val="00757CAF"/>
    <w:rsid w:val="007604B6"/>
    <w:rsid w:val="00761543"/>
    <w:rsid w:val="00761663"/>
    <w:rsid w:val="00761937"/>
    <w:rsid w:val="00761F60"/>
    <w:rsid w:val="00762D3B"/>
    <w:rsid w:val="00763EFD"/>
    <w:rsid w:val="007641C8"/>
    <w:rsid w:val="00765577"/>
    <w:rsid w:val="00765D54"/>
    <w:rsid w:val="00766DE8"/>
    <w:rsid w:val="00767378"/>
    <w:rsid w:val="0076787A"/>
    <w:rsid w:val="00767B48"/>
    <w:rsid w:val="007701E2"/>
    <w:rsid w:val="00771BA4"/>
    <w:rsid w:val="007730F1"/>
    <w:rsid w:val="00775130"/>
    <w:rsid w:val="00776B5B"/>
    <w:rsid w:val="007772AA"/>
    <w:rsid w:val="007775D0"/>
    <w:rsid w:val="00780249"/>
    <w:rsid w:val="007804DC"/>
    <w:rsid w:val="00784F08"/>
    <w:rsid w:val="00785447"/>
    <w:rsid w:val="00786E51"/>
    <w:rsid w:val="00787992"/>
    <w:rsid w:val="00787ED2"/>
    <w:rsid w:val="0079124B"/>
    <w:rsid w:val="0079268F"/>
    <w:rsid w:val="00793112"/>
    <w:rsid w:val="007955C9"/>
    <w:rsid w:val="0079560C"/>
    <w:rsid w:val="0079671B"/>
    <w:rsid w:val="007969BE"/>
    <w:rsid w:val="007A0201"/>
    <w:rsid w:val="007A1A0A"/>
    <w:rsid w:val="007A2559"/>
    <w:rsid w:val="007A2A3B"/>
    <w:rsid w:val="007A2EFE"/>
    <w:rsid w:val="007A384A"/>
    <w:rsid w:val="007A4A55"/>
    <w:rsid w:val="007A4FCD"/>
    <w:rsid w:val="007A5039"/>
    <w:rsid w:val="007A5368"/>
    <w:rsid w:val="007A5A18"/>
    <w:rsid w:val="007A5B73"/>
    <w:rsid w:val="007A61BD"/>
    <w:rsid w:val="007A7117"/>
    <w:rsid w:val="007B0420"/>
    <w:rsid w:val="007B12E5"/>
    <w:rsid w:val="007B15E9"/>
    <w:rsid w:val="007B3F04"/>
    <w:rsid w:val="007B5C92"/>
    <w:rsid w:val="007B70E6"/>
    <w:rsid w:val="007B7CBE"/>
    <w:rsid w:val="007C0583"/>
    <w:rsid w:val="007C07AE"/>
    <w:rsid w:val="007C2655"/>
    <w:rsid w:val="007C3085"/>
    <w:rsid w:val="007C387F"/>
    <w:rsid w:val="007C3CC6"/>
    <w:rsid w:val="007C4C46"/>
    <w:rsid w:val="007C6522"/>
    <w:rsid w:val="007C6A96"/>
    <w:rsid w:val="007C7036"/>
    <w:rsid w:val="007D07A2"/>
    <w:rsid w:val="007D13E1"/>
    <w:rsid w:val="007D1B4F"/>
    <w:rsid w:val="007D4B7A"/>
    <w:rsid w:val="007D4FCC"/>
    <w:rsid w:val="007D58A6"/>
    <w:rsid w:val="007D58E9"/>
    <w:rsid w:val="007E0671"/>
    <w:rsid w:val="007E0CC5"/>
    <w:rsid w:val="007E12FD"/>
    <w:rsid w:val="007E2AB4"/>
    <w:rsid w:val="007E2F6B"/>
    <w:rsid w:val="007E44F6"/>
    <w:rsid w:val="007E550B"/>
    <w:rsid w:val="007E7120"/>
    <w:rsid w:val="007F008C"/>
    <w:rsid w:val="007F104C"/>
    <w:rsid w:val="007F153B"/>
    <w:rsid w:val="007F1C74"/>
    <w:rsid w:val="007F23CC"/>
    <w:rsid w:val="007F33BF"/>
    <w:rsid w:val="007F56B3"/>
    <w:rsid w:val="007F7A98"/>
    <w:rsid w:val="00800EC1"/>
    <w:rsid w:val="0080129B"/>
    <w:rsid w:val="00801784"/>
    <w:rsid w:val="00801EC2"/>
    <w:rsid w:val="00802B83"/>
    <w:rsid w:val="00806DCB"/>
    <w:rsid w:val="0081013A"/>
    <w:rsid w:val="00811EC1"/>
    <w:rsid w:val="00813488"/>
    <w:rsid w:val="008137E2"/>
    <w:rsid w:val="00813860"/>
    <w:rsid w:val="00814915"/>
    <w:rsid w:val="00814A0C"/>
    <w:rsid w:val="00814B8B"/>
    <w:rsid w:val="008209BC"/>
    <w:rsid w:val="00821DAF"/>
    <w:rsid w:val="008229C0"/>
    <w:rsid w:val="00823491"/>
    <w:rsid w:val="008242FD"/>
    <w:rsid w:val="00825668"/>
    <w:rsid w:val="008258EF"/>
    <w:rsid w:val="00826061"/>
    <w:rsid w:val="00827105"/>
    <w:rsid w:val="00827158"/>
    <w:rsid w:val="008274D9"/>
    <w:rsid w:val="00830E27"/>
    <w:rsid w:val="00830E79"/>
    <w:rsid w:val="008315DD"/>
    <w:rsid w:val="00831B9F"/>
    <w:rsid w:val="00831DC2"/>
    <w:rsid w:val="008363EF"/>
    <w:rsid w:val="00842B43"/>
    <w:rsid w:val="00842C50"/>
    <w:rsid w:val="00842DE9"/>
    <w:rsid w:val="00846689"/>
    <w:rsid w:val="00847AB2"/>
    <w:rsid w:val="00847F97"/>
    <w:rsid w:val="00850B88"/>
    <w:rsid w:val="008519F1"/>
    <w:rsid w:val="0085245D"/>
    <w:rsid w:val="008544EC"/>
    <w:rsid w:val="008548E0"/>
    <w:rsid w:val="008566BE"/>
    <w:rsid w:val="008579F6"/>
    <w:rsid w:val="00860A7E"/>
    <w:rsid w:val="008611D1"/>
    <w:rsid w:val="00861243"/>
    <w:rsid w:val="00861E71"/>
    <w:rsid w:val="00862E4E"/>
    <w:rsid w:val="00862E5B"/>
    <w:rsid w:val="0086389A"/>
    <w:rsid w:val="00863E3F"/>
    <w:rsid w:val="0086438C"/>
    <w:rsid w:val="00865BAD"/>
    <w:rsid w:val="008663E3"/>
    <w:rsid w:val="00866943"/>
    <w:rsid w:val="00866F41"/>
    <w:rsid w:val="00867422"/>
    <w:rsid w:val="00867843"/>
    <w:rsid w:val="0087097F"/>
    <w:rsid w:val="00872022"/>
    <w:rsid w:val="00873D6F"/>
    <w:rsid w:val="00876E69"/>
    <w:rsid w:val="008771EC"/>
    <w:rsid w:val="00877619"/>
    <w:rsid w:val="00880026"/>
    <w:rsid w:val="00880622"/>
    <w:rsid w:val="00881089"/>
    <w:rsid w:val="008823DC"/>
    <w:rsid w:val="00883B7A"/>
    <w:rsid w:val="00883FCA"/>
    <w:rsid w:val="008845DD"/>
    <w:rsid w:val="00884722"/>
    <w:rsid w:val="008855F6"/>
    <w:rsid w:val="00885BED"/>
    <w:rsid w:val="00886ACB"/>
    <w:rsid w:val="00887545"/>
    <w:rsid w:val="00887BDA"/>
    <w:rsid w:val="0089278E"/>
    <w:rsid w:val="00892CBF"/>
    <w:rsid w:val="00893306"/>
    <w:rsid w:val="00894F61"/>
    <w:rsid w:val="0089698C"/>
    <w:rsid w:val="00897613"/>
    <w:rsid w:val="008A036A"/>
    <w:rsid w:val="008A08D3"/>
    <w:rsid w:val="008A09B4"/>
    <w:rsid w:val="008A0E66"/>
    <w:rsid w:val="008A23A7"/>
    <w:rsid w:val="008A2494"/>
    <w:rsid w:val="008A2B2B"/>
    <w:rsid w:val="008A31C7"/>
    <w:rsid w:val="008A4341"/>
    <w:rsid w:val="008A5DE8"/>
    <w:rsid w:val="008A6012"/>
    <w:rsid w:val="008B002D"/>
    <w:rsid w:val="008B0200"/>
    <w:rsid w:val="008B67FA"/>
    <w:rsid w:val="008B749D"/>
    <w:rsid w:val="008B7A7E"/>
    <w:rsid w:val="008C4991"/>
    <w:rsid w:val="008C4D10"/>
    <w:rsid w:val="008C52A8"/>
    <w:rsid w:val="008C5B32"/>
    <w:rsid w:val="008C5B49"/>
    <w:rsid w:val="008C5E61"/>
    <w:rsid w:val="008C7528"/>
    <w:rsid w:val="008D029C"/>
    <w:rsid w:val="008D1EDC"/>
    <w:rsid w:val="008D2E56"/>
    <w:rsid w:val="008D3341"/>
    <w:rsid w:val="008D5863"/>
    <w:rsid w:val="008D5EE7"/>
    <w:rsid w:val="008D63BD"/>
    <w:rsid w:val="008E0FCB"/>
    <w:rsid w:val="008E1E19"/>
    <w:rsid w:val="008E2B47"/>
    <w:rsid w:val="008E2DC1"/>
    <w:rsid w:val="008E2EA1"/>
    <w:rsid w:val="008E5FCF"/>
    <w:rsid w:val="008F01A4"/>
    <w:rsid w:val="008F1A78"/>
    <w:rsid w:val="008F1D32"/>
    <w:rsid w:val="008F21E5"/>
    <w:rsid w:val="008F2E64"/>
    <w:rsid w:val="008F30B6"/>
    <w:rsid w:val="008F31DD"/>
    <w:rsid w:val="008F38BF"/>
    <w:rsid w:val="008F4670"/>
    <w:rsid w:val="008F6E5E"/>
    <w:rsid w:val="008F6EF9"/>
    <w:rsid w:val="008F71F4"/>
    <w:rsid w:val="008F7260"/>
    <w:rsid w:val="008F796A"/>
    <w:rsid w:val="00901BFC"/>
    <w:rsid w:val="0090342C"/>
    <w:rsid w:val="00904634"/>
    <w:rsid w:val="00904CDC"/>
    <w:rsid w:val="00906371"/>
    <w:rsid w:val="00907C3F"/>
    <w:rsid w:val="00912EFF"/>
    <w:rsid w:val="009134EF"/>
    <w:rsid w:val="00913D06"/>
    <w:rsid w:val="00913DAE"/>
    <w:rsid w:val="00917F11"/>
    <w:rsid w:val="009215F5"/>
    <w:rsid w:val="00921CBC"/>
    <w:rsid w:val="00922132"/>
    <w:rsid w:val="00922D0C"/>
    <w:rsid w:val="00925756"/>
    <w:rsid w:val="00925CD5"/>
    <w:rsid w:val="0092615F"/>
    <w:rsid w:val="0092627D"/>
    <w:rsid w:val="00927109"/>
    <w:rsid w:val="00930189"/>
    <w:rsid w:val="009314BA"/>
    <w:rsid w:val="00933446"/>
    <w:rsid w:val="00934396"/>
    <w:rsid w:val="00934464"/>
    <w:rsid w:val="0093569C"/>
    <w:rsid w:val="00935703"/>
    <w:rsid w:val="009360A4"/>
    <w:rsid w:val="00937775"/>
    <w:rsid w:val="00937E69"/>
    <w:rsid w:val="00940742"/>
    <w:rsid w:val="00941B15"/>
    <w:rsid w:val="009424E9"/>
    <w:rsid w:val="0094294C"/>
    <w:rsid w:val="00942CAF"/>
    <w:rsid w:val="0094364B"/>
    <w:rsid w:val="009467F1"/>
    <w:rsid w:val="009505F5"/>
    <w:rsid w:val="0095067E"/>
    <w:rsid w:val="00953051"/>
    <w:rsid w:val="009531C8"/>
    <w:rsid w:val="00953312"/>
    <w:rsid w:val="00956C30"/>
    <w:rsid w:val="00957F31"/>
    <w:rsid w:val="00963971"/>
    <w:rsid w:val="00963A38"/>
    <w:rsid w:val="009649CE"/>
    <w:rsid w:val="00965C87"/>
    <w:rsid w:val="00965F9E"/>
    <w:rsid w:val="00973C59"/>
    <w:rsid w:val="00973FA4"/>
    <w:rsid w:val="00974BDC"/>
    <w:rsid w:val="00974BF9"/>
    <w:rsid w:val="00975509"/>
    <w:rsid w:val="00975DC1"/>
    <w:rsid w:val="0097604B"/>
    <w:rsid w:val="00980C3D"/>
    <w:rsid w:val="00984A9D"/>
    <w:rsid w:val="00984D56"/>
    <w:rsid w:val="009861C7"/>
    <w:rsid w:val="009875FF"/>
    <w:rsid w:val="009906AA"/>
    <w:rsid w:val="009931BB"/>
    <w:rsid w:val="009943BF"/>
    <w:rsid w:val="00994D80"/>
    <w:rsid w:val="00994EBA"/>
    <w:rsid w:val="00995299"/>
    <w:rsid w:val="00995C93"/>
    <w:rsid w:val="0099602A"/>
    <w:rsid w:val="00996425"/>
    <w:rsid w:val="00996616"/>
    <w:rsid w:val="00996DC5"/>
    <w:rsid w:val="009971E9"/>
    <w:rsid w:val="00997AA5"/>
    <w:rsid w:val="009A0ED4"/>
    <w:rsid w:val="009A2056"/>
    <w:rsid w:val="009A3356"/>
    <w:rsid w:val="009A339F"/>
    <w:rsid w:val="009A4238"/>
    <w:rsid w:val="009A451D"/>
    <w:rsid w:val="009A4680"/>
    <w:rsid w:val="009A56D9"/>
    <w:rsid w:val="009A666D"/>
    <w:rsid w:val="009A6E90"/>
    <w:rsid w:val="009A72BC"/>
    <w:rsid w:val="009A7FA6"/>
    <w:rsid w:val="009B0BAB"/>
    <w:rsid w:val="009B1048"/>
    <w:rsid w:val="009B1852"/>
    <w:rsid w:val="009B45C9"/>
    <w:rsid w:val="009B6923"/>
    <w:rsid w:val="009C0B20"/>
    <w:rsid w:val="009C26EC"/>
    <w:rsid w:val="009C3029"/>
    <w:rsid w:val="009C49CE"/>
    <w:rsid w:val="009C52C6"/>
    <w:rsid w:val="009C5A0E"/>
    <w:rsid w:val="009C608D"/>
    <w:rsid w:val="009C6774"/>
    <w:rsid w:val="009C6B2B"/>
    <w:rsid w:val="009C7280"/>
    <w:rsid w:val="009D1764"/>
    <w:rsid w:val="009D2CE8"/>
    <w:rsid w:val="009D3939"/>
    <w:rsid w:val="009D4955"/>
    <w:rsid w:val="009D4B44"/>
    <w:rsid w:val="009D4FA8"/>
    <w:rsid w:val="009D65E4"/>
    <w:rsid w:val="009D667E"/>
    <w:rsid w:val="009E0370"/>
    <w:rsid w:val="009E03FA"/>
    <w:rsid w:val="009E1140"/>
    <w:rsid w:val="009E1490"/>
    <w:rsid w:val="009E1F16"/>
    <w:rsid w:val="009E357A"/>
    <w:rsid w:val="009E4FAE"/>
    <w:rsid w:val="009E5EB9"/>
    <w:rsid w:val="009E79BC"/>
    <w:rsid w:val="009E7DDD"/>
    <w:rsid w:val="009F03F8"/>
    <w:rsid w:val="009F06F1"/>
    <w:rsid w:val="009F0BF9"/>
    <w:rsid w:val="009F1AFC"/>
    <w:rsid w:val="009F208E"/>
    <w:rsid w:val="009F3D4A"/>
    <w:rsid w:val="009F5151"/>
    <w:rsid w:val="009F5E2D"/>
    <w:rsid w:val="00A005C4"/>
    <w:rsid w:val="00A0068C"/>
    <w:rsid w:val="00A01B85"/>
    <w:rsid w:val="00A027E2"/>
    <w:rsid w:val="00A03FA5"/>
    <w:rsid w:val="00A05355"/>
    <w:rsid w:val="00A0602B"/>
    <w:rsid w:val="00A06836"/>
    <w:rsid w:val="00A06AE6"/>
    <w:rsid w:val="00A104AB"/>
    <w:rsid w:val="00A105A7"/>
    <w:rsid w:val="00A11B6F"/>
    <w:rsid w:val="00A12A3A"/>
    <w:rsid w:val="00A12B50"/>
    <w:rsid w:val="00A12CD8"/>
    <w:rsid w:val="00A1423A"/>
    <w:rsid w:val="00A1477A"/>
    <w:rsid w:val="00A149E4"/>
    <w:rsid w:val="00A154B5"/>
    <w:rsid w:val="00A15741"/>
    <w:rsid w:val="00A15EEC"/>
    <w:rsid w:val="00A177A6"/>
    <w:rsid w:val="00A17E81"/>
    <w:rsid w:val="00A20DAB"/>
    <w:rsid w:val="00A20ED8"/>
    <w:rsid w:val="00A2169A"/>
    <w:rsid w:val="00A23674"/>
    <w:rsid w:val="00A25344"/>
    <w:rsid w:val="00A25EA9"/>
    <w:rsid w:val="00A265E1"/>
    <w:rsid w:val="00A26AA9"/>
    <w:rsid w:val="00A30229"/>
    <w:rsid w:val="00A309FB"/>
    <w:rsid w:val="00A40FC6"/>
    <w:rsid w:val="00A416DC"/>
    <w:rsid w:val="00A416FA"/>
    <w:rsid w:val="00A41A3D"/>
    <w:rsid w:val="00A41BE7"/>
    <w:rsid w:val="00A420DC"/>
    <w:rsid w:val="00A42D20"/>
    <w:rsid w:val="00A43492"/>
    <w:rsid w:val="00A43AF7"/>
    <w:rsid w:val="00A468CF"/>
    <w:rsid w:val="00A46B33"/>
    <w:rsid w:val="00A473FA"/>
    <w:rsid w:val="00A4797F"/>
    <w:rsid w:val="00A47BAB"/>
    <w:rsid w:val="00A51079"/>
    <w:rsid w:val="00A510ED"/>
    <w:rsid w:val="00A51B29"/>
    <w:rsid w:val="00A52979"/>
    <w:rsid w:val="00A52D41"/>
    <w:rsid w:val="00A52ECC"/>
    <w:rsid w:val="00A5318A"/>
    <w:rsid w:val="00A54479"/>
    <w:rsid w:val="00A55E31"/>
    <w:rsid w:val="00A57506"/>
    <w:rsid w:val="00A600AB"/>
    <w:rsid w:val="00A6014F"/>
    <w:rsid w:val="00A610B1"/>
    <w:rsid w:val="00A6210B"/>
    <w:rsid w:val="00A635A9"/>
    <w:rsid w:val="00A64203"/>
    <w:rsid w:val="00A65253"/>
    <w:rsid w:val="00A65B8A"/>
    <w:rsid w:val="00A67576"/>
    <w:rsid w:val="00A67DE0"/>
    <w:rsid w:val="00A725AE"/>
    <w:rsid w:val="00A731D9"/>
    <w:rsid w:val="00A734CA"/>
    <w:rsid w:val="00A7369E"/>
    <w:rsid w:val="00A73873"/>
    <w:rsid w:val="00A73D6E"/>
    <w:rsid w:val="00A7457C"/>
    <w:rsid w:val="00A749E2"/>
    <w:rsid w:val="00A7622D"/>
    <w:rsid w:val="00A76264"/>
    <w:rsid w:val="00A77690"/>
    <w:rsid w:val="00A8019C"/>
    <w:rsid w:val="00A808A5"/>
    <w:rsid w:val="00A816D5"/>
    <w:rsid w:val="00A8253D"/>
    <w:rsid w:val="00A827B1"/>
    <w:rsid w:val="00A82E5E"/>
    <w:rsid w:val="00A833BB"/>
    <w:rsid w:val="00A838D1"/>
    <w:rsid w:val="00A84925"/>
    <w:rsid w:val="00A84D61"/>
    <w:rsid w:val="00A85AB5"/>
    <w:rsid w:val="00A85C99"/>
    <w:rsid w:val="00A85D44"/>
    <w:rsid w:val="00A85DC4"/>
    <w:rsid w:val="00A861CA"/>
    <w:rsid w:val="00A864B7"/>
    <w:rsid w:val="00A86A2E"/>
    <w:rsid w:val="00A90502"/>
    <w:rsid w:val="00A90BF2"/>
    <w:rsid w:val="00A9198F"/>
    <w:rsid w:val="00A921E3"/>
    <w:rsid w:val="00A92DE0"/>
    <w:rsid w:val="00A944A1"/>
    <w:rsid w:val="00A95537"/>
    <w:rsid w:val="00A97BEC"/>
    <w:rsid w:val="00AA20D1"/>
    <w:rsid w:val="00AA2506"/>
    <w:rsid w:val="00AA4661"/>
    <w:rsid w:val="00AA7958"/>
    <w:rsid w:val="00AB00C7"/>
    <w:rsid w:val="00AB04AE"/>
    <w:rsid w:val="00AB1D6A"/>
    <w:rsid w:val="00AB381F"/>
    <w:rsid w:val="00AB3CFE"/>
    <w:rsid w:val="00AB56DD"/>
    <w:rsid w:val="00AB6245"/>
    <w:rsid w:val="00AB68C4"/>
    <w:rsid w:val="00AB7613"/>
    <w:rsid w:val="00AB76C3"/>
    <w:rsid w:val="00AB7899"/>
    <w:rsid w:val="00AC06A7"/>
    <w:rsid w:val="00AC07A7"/>
    <w:rsid w:val="00AC0E9D"/>
    <w:rsid w:val="00AC3156"/>
    <w:rsid w:val="00AC365E"/>
    <w:rsid w:val="00AC4A9C"/>
    <w:rsid w:val="00AC58CF"/>
    <w:rsid w:val="00AC5B42"/>
    <w:rsid w:val="00AC5DED"/>
    <w:rsid w:val="00AD0509"/>
    <w:rsid w:val="00AD1397"/>
    <w:rsid w:val="00AD14EC"/>
    <w:rsid w:val="00AD249A"/>
    <w:rsid w:val="00AD4277"/>
    <w:rsid w:val="00AD4296"/>
    <w:rsid w:val="00AD5769"/>
    <w:rsid w:val="00AD5790"/>
    <w:rsid w:val="00AD70CB"/>
    <w:rsid w:val="00AE06F0"/>
    <w:rsid w:val="00AE1AEB"/>
    <w:rsid w:val="00AE2134"/>
    <w:rsid w:val="00AE2669"/>
    <w:rsid w:val="00AE2FCE"/>
    <w:rsid w:val="00AE3C67"/>
    <w:rsid w:val="00AE4341"/>
    <w:rsid w:val="00AE4681"/>
    <w:rsid w:val="00AE53DD"/>
    <w:rsid w:val="00AE593F"/>
    <w:rsid w:val="00AE5980"/>
    <w:rsid w:val="00AE706E"/>
    <w:rsid w:val="00AE710A"/>
    <w:rsid w:val="00AF005F"/>
    <w:rsid w:val="00AF08A7"/>
    <w:rsid w:val="00AF0B26"/>
    <w:rsid w:val="00AF23F5"/>
    <w:rsid w:val="00AF2BFC"/>
    <w:rsid w:val="00AF2E03"/>
    <w:rsid w:val="00AF3722"/>
    <w:rsid w:val="00AF46C0"/>
    <w:rsid w:val="00AF4776"/>
    <w:rsid w:val="00AF4E66"/>
    <w:rsid w:val="00AF5770"/>
    <w:rsid w:val="00B0163B"/>
    <w:rsid w:val="00B042B1"/>
    <w:rsid w:val="00B04C9A"/>
    <w:rsid w:val="00B04D76"/>
    <w:rsid w:val="00B04F8C"/>
    <w:rsid w:val="00B05254"/>
    <w:rsid w:val="00B0676F"/>
    <w:rsid w:val="00B06982"/>
    <w:rsid w:val="00B071CF"/>
    <w:rsid w:val="00B13326"/>
    <w:rsid w:val="00B15A6E"/>
    <w:rsid w:val="00B16526"/>
    <w:rsid w:val="00B201A7"/>
    <w:rsid w:val="00B205D8"/>
    <w:rsid w:val="00B213E7"/>
    <w:rsid w:val="00B21866"/>
    <w:rsid w:val="00B21A9B"/>
    <w:rsid w:val="00B2224C"/>
    <w:rsid w:val="00B23151"/>
    <w:rsid w:val="00B23461"/>
    <w:rsid w:val="00B23515"/>
    <w:rsid w:val="00B26FF0"/>
    <w:rsid w:val="00B27387"/>
    <w:rsid w:val="00B279E1"/>
    <w:rsid w:val="00B27E6E"/>
    <w:rsid w:val="00B3024D"/>
    <w:rsid w:val="00B30AFA"/>
    <w:rsid w:val="00B318C9"/>
    <w:rsid w:val="00B34F5F"/>
    <w:rsid w:val="00B3590D"/>
    <w:rsid w:val="00B35B49"/>
    <w:rsid w:val="00B35DB9"/>
    <w:rsid w:val="00B362E5"/>
    <w:rsid w:val="00B402A3"/>
    <w:rsid w:val="00B403C7"/>
    <w:rsid w:val="00B43D17"/>
    <w:rsid w:val="00B443F0"/>
    <w:rsid w:val="00B46024"/>
    <w:rsid w:val="00B46F4F"/>
    <w:rsid w:val="00B52205"/>
    <w:rsid w:val="00B522DD"/>
    <w:rsid w:val="00B5322D"/>
    <w:rsid w:val="00B53C8E"/>
    <w:rsid w:val="00B56615"/>
    <w:rsid w:val="00B56E40"/>
    <w:rsid w:val="00B60289"/>
    <w:rsid w:val="00B61A1C"/>
    <w:rsid w:val="00B64886"/>
    <w:rsid w:val="00B677FB"/>
    <w:rsid w:val="00B70105"/>
    <w:rsid w:val="00B703C0"/>
    <w:rsid w:val="00B70713"/>
    <w:rsid w:val="00B732A0"/>
    <w:rsid w:val="00B73911"/>
    <w:rsid w:val="00B75719"/>
    <w:rsid w:val="00B75852"/>
    <w:rsid w:val="00B75A66"/>
    <w:rsid w:val="00B760F0"/>
    <w:rsid w:val="00B80B3A"/>
    <w:rsid w:val="00B82B0A"/>
    <w:rsid w:val="00B833D1"/>
    <w:rsid w:val="00B84ECE"/>
    <w:rsid w:val="00B867F9"/>
    <w:rsid w:val="00B876A1"/>
    <w:rsid w:val="00B87FC6"/>
    <w:rsid w:val="00B90074"/>
    <w:rsid w:val="00B90397"/>
    <w:rsid w:val="00B941C6"/>
    <w:rsid w:val="00B942EA"/>
    <w:rsid w:val="00B965F1"/>
    <w:rsid w:val="00B966C6"/>
    <w:rsid w:val="00B96A0D"/>
    <w:rsid w:val="00B97223"/>
    <w:rsid w:val="00B974A4"/>
    <w:rsid w:val="00BA1241"/>
    <w:rsid w:val="00BA1860"/>
    <w:rsid w:val="00BA277B"/>
    <w:rsid w:val="00BA2A24"/>
    <w:rsid w:val="00BA3439"/>
    <w:rsid w:val="00BA3BE7"/>
    <w:rsid w:val="00BA3E31"/>
    <w:rsid w:val="00BA51A0"/>
    <w:rsid w:val="00BA5A04"/>
    <w:rsid w:val="00BA60FE"/>
    <w:rsid w:val="00BA7AC6"/>
    <w:rsid w:val="00BB0F8B"/>
    <w:rsid w:val="00BB1148"/>
    <w:rsid w:val="00BB1299"/>
    <w:rsid w:val="00BB13C1"/>
    <w:rsid w:val="00BB1744"/>
    <w:rsid w:val="00BB1ABB"/>
    <w:rsid w:val="00BB5FAF"/>
    <w:rsid w:val="00BB73F1"/>
    <w:rsid w:val="00BC0DCC"/>
    <w:rsid w:val="00BC0E70"/>
    <w:rsid w:val="00BC1E61"/>
    <w:rsid w:val="00BC4823"/>
    <w:rsid w:val="00BC580A"/>
    <w:rsid w:val="00BD079E"/>
    <w:rsid w:val="00BD1512"/>
    <w:rsid w:val="00BD2BF1"/>
    <w:rsid w:val="00BD3007"/>
    <w:rsid w:val="00BD335B"/>
    <w:rsid w:val="00BD43AF"/>
    <w:rsid w:val="00BD5376"/>
    <w:rsid w:val="00BD541A"/>
    <w:rsid w:val="00BD6816"/>
    <w:rsid w:val="00BD6A2F"/>
    <w:rsid w:val="00BD6D0E"/>
    <w:rsid w:val="00BE15DC"/>
    <w:rsid w:val="00BE3A3B"/>
    <w:rsid w:val="00BE3E30"/>
    <w:rsid w:val="00BE52B8"/>
    <w:rsid w:val="00BE67D2"/>
    <w:rsid w:val="00BE729A"/>
    <w:rsid w:val="00BE79AC"/>
    <w:rsid w:val="00BE7A16"/>
    <w:rsid w:val="00BF1DDE"/>
    <w:rsid w:val="00BF2735"/>
    <w:rsid w:val="00BF2F67"/>
    <w:rsid w:val="00BF5F50"/>
    <w:rsid w:val="00C00763"/>
    <w:rsid w:val="00C008FB"/>
    <w:rsid w:val="00C00FB4"/>
    <w:rsid w:val="00C030AC"/>
    <w:rsid w:val="00C046B0"/>
    <w:rsid w:val="00C0487A"/>
    <w:rsid w:val="00C0507E"/>
    <w:rsid w:val="00C05708"/>
    <w:rsid w:val="00C06228"/>
    <w:rsid w:val="00C0628F"/>
    <w:rsid w:val="00C10938"/>
    <w:rsid w:val="00C10EA6"/>
    <w:rsid w:val="00C134EF"/>
    <w:rsid w:val="00C154E7"/>
    <w:rsid w:val="00C17274"/>
    <w:rsid w:val="00C211E2"/>
    <w:rsid w:val="00C222CA"/>
    <w:rsid w:val="00C22373"/>
    <w:rsid w:val="00C25A9B"/>
    <w:rsid w:val="00C25E75"/>
    <w:rsid w:val="00C27D17"/>
    <w:rsid w:val="00C27F27"/>
    <w:rsid w:val="00C33581"/>
    <w:rsid w:val="00C35D84"/>
    <w:rsid w:val="00C36B74"/>
    <w:rsid w:val="00C3710F"/>
    <w:rsid w:val="00C40056"/>
    <w:rsid w:val="00C40294"/>
    <w:rsid w:val="00C405D2"/>
    <w:rsid w:val="00C40EBB"/>
    <w:rsid w:val="00C41119"/>
    <w:rsid w:val="00C415B8"/>
    <w:rsid w:val="00C41B38"/>
    <w:rsid w:val="00C446DA"/>
    <w:rsid w:val="00C44B6A"/>
    <w:rsid w:val="00C45676"/>
    <w:rsid w:val="00C456D1"/>
    <w:rsid w:val="00C46BA1"/>
    <w:rsid w:val="00C4744D"/>
    <w:rsid w:val="00C50EA4"/>
    <w:rsid w:val="00C51D5F"/>
    <w:rsid w:val="00C52144"/>
    <w:rsid w:val="00C53E4F"/>
    <w:rsid w:val="00C55C1D"/>
    <w:rsid w:val="00C55E7A"/>
    <w:rsid w:val="00C56634"/>
    <w:rsid w:val="00C56748"/>
    <w:rsid w:val="00C579B7"/>
    <w:rsid w:val="00C62C70"/>
    <w:rsid w:val="00C64035"/>
    <w:rsid w:val="00C644AD"/>
    <w:rsid w:val="00C646C9"/>
    <w:rsid w:val="00C658DD"/>
    <w:rsid w:val="00C65BB9"/>
    <w:rsid w:val="00C66333"/>
    <w:rsid w:val="00C67246"/>
    <w:rsid w:val="00C677FB"/>
    <w:rsid w:val="00C67A27"/>
    <w:rsid w:val="00C70F23"/>
    <w:rsid w:val="00C73487"/>
    <w:rsid w:val="00C77323"/>
    <w:rsid w:val="00C778E9"/>
    <w:rsid w:val="00C809AB"/>
    <w:rsid w:val="00C8201D"/>
    <w:rsid w:val="00C85AAE"/>
    <w:rsid w:val="00C85E7E"/>
    <w:rsid w:val="00C8600D"/>
    <w:rsid w:val="00C8648F"/>
    <w:rsid w:val="00C8685E"/>
    <w:rsid w:val="00C86B8A"/>
    <w:rsid w:val="00C877D5"/>
    <w:rsid w:val="00C87A82"/>
    <w:rsid w:val="00C87ED3"/>
    <w:rsid w:val="00C907BF"/>
    <w:rsid w:val="00C9093E"/>
    <w:rsid w:val="00C9344B"/>
    <w:rsid w:val="00C93691"/>
    <w:rsid w:val="00C93B97"/>
    <w:rsid w:val="00C94A7C"/>
    <w:rsid w:val="00C95E81"/>
    <w:rsid w:val="00C97D74"/>
    <w:rsid w:val="00C97DFB"/>
    <w:rsid w:val="00C97F0D"/>
    <w:rsid w:val="00CA13DD"/>
    <w:rsid w:val="00CA26E0"/>
    <w:rsid w:val="00CA33E3"/>
    <w:rsid w:val="00CA364E"/>
    <w:rsid w:val="00CA6A14"/>
    <w:rsid w:val="00CA6E86"/>
    <w:rsid w:val="00CA771A"/>
    <w:rsid w:val="00CB0838"/>
    <w:rsid w:val="00CB0B49"/>
    <w:rsid w:val="00CB1263"/>
    <w:rsid w:val="00CB1AE7"/>
    <w:rsid w:val="00CB2BDF"/>
    <w:rsid w:val="00CB367B"/>
    <w:rsid w:val="00CB4186"/>
    <w:rsid w:val="00CB4447"/>
    <w:rsid w:val="00CB4D85"/>
    <w:rsid w:val="00CB5F45"/>
    <w:rsid w:val="00CC054E"/>
    <w:rsid w:val="00CC1B1E"/>
    <w:rsid w:val="00CC446E"/>
    <w:rsid w:val="00CC4851"/>
    <w:rsid w:val="00CC5B39"/>
    <w:rsid w:val="00CC7166"/>
    <w:rsid w:val="00CC745E"/>
    <w:rsid w:val="00CD0184"/>
    <w:rsid w:val="00CD06B5"/>
    <w:rsid w:val="00CD111E"/>
    <w:rsid w:val="00CD19AD"/>
    <w:rsid w:val="00CD1D04"/>
    <w:rsid w:val="00CD240D"/>
    <w:rsid w:val="00CD28EF"/>
    <w:rsid w:val="00CD4203"/>
    <w:rsid w:val="00CD4DB1"/>
    <w:rsid w:val="00CD75DF"/>
    <w:rsid w:val="00CE1343"/>
    <w:rsid w:val="00CE14AC"/>
    <w:rsid w:val="00CE3386"/>
    <w:rsid w:val="00CE4EE6"/>
    <w:rsid w:val="00CE4FA7"/>
    <w:rsid w:val="00CE64AD"/>
    <w:rsid w:val="00CE6C2B"/>
    <w:rsid w:val="00CE75D6"/>
    <w:rsid w:val="00CF09C0"/>
    <w:rsid w:val="00CF140A"/>
    <w:rsid w:val="00CF1571"/>
    <w:rsid w:val="00CF1B4C"/>
    <w:rsid w:val="00CF1D90"/>
    <w:rsid w:val="00CF2DFC"/>
    <w:rsid w:val="00CF4633"/>
    <w:rsid w:val="00CF4CE1"/>
    <w:rsid w:val="00CF57D6"/>
    <w:rsid w:val="00CF60FD"/>
    <w:rsid w:val="00CF6739"/>
    <w:rsid w:val="00D00413"/>
    <w:rsid w:val="00D009C8"/>
    <w:rsid w:val="00D01160"/>
    <w:rsid w:val="00D01E59"/>
    <w:rsid w:val="00D039F4"/>
    <w:rsid w:val="00D03F54"/>
    <w:rsid w:val="00D042D0"/>
    <w:rsid w:val="00D0609C"/>
    <w:rsid w:val="00D070B3"/>
    <w:rsid w:val="00D078E8"/>
    <w:rsid w:val="00D07BAE"/>
    <w:rsid w:val="00D10883"/>
    <w:rsid w:val="00D112B2"/>
    <w:rsid w:val="00D11C02"/>
    <w:rsid w:val="00D12689"/>
    <w:rsid w:val="00D1344A"/>
    <w:rsid w:val="00D135FD"/>
    <w:rsid w:val="00D15314"/>
    <w:rsid w:val="00D158FA"/>
    <w:rsid w:val="00D16137"/>
    <w:rsid w:val="00D206E4"/>
    <w:rsid w:val="00D20A7B"/>
    <w:rsid w:val="00D21BA9"/>
    <w:rsid w:val="00D21EBC"/>
    <w:rsid w:val="00D22E66"/>
    <w:rsid w:val="00D23A63"/>
    <w:rsid w:val="00D24560"/>
    <w:rsid w:val="00D2491A"/>
    <w:rsid w:val="00D2510A"/>
    <w:rsid w:val="00D25DBE"/>
    <w:rsid w:val="00D273D5"/>
    <w:rsid w:val="00D30FD7"/>
    <w:rsid w:val="00D31549"/>
    <w:rsid w:val="00D319DE"/>
    <w:rsid w:val="00D335B5"/>
    <w:rsid w:val="00D33D0C"/>
    <w:rsid w:val="00D33F95"/>
    <w:rsid w:val="00D3435F"/>
    <w:rsid w:val="00D37B45"/>
    <w:rsid w:val="00D37D30"/>
    <w:rsid w:val="00D42B40"/>
    <w:rsid w:val="00D42CCC"/>
    <w:rsid w:val="00D4364D"/>
    <w:rsid w:val="00D43861"/>
    <w:rsid w:val="00D439DA"/>
    <w:rsid w:val="00D43B65"/>
    <w:rsid w:val="00D44D70"/>
    <w:rsid w:val="00D452ED"/>
    <w:rsid w:val="00D4564F"/>
    <w:rsid w:val="00D45893"/>
    <w:rsid w:val="00D474A3"/>
    <w:rsid w:val="00D477C4"/>
    <w:rsid w:val="00D50CA4"/>
    <w:rsid w:val="00D5127D"/>
    <w:rsid w:val="00D518A6"/>
    <w:rsid w:val="00D52089"/>
    <w:rsid w:val="00D53139"/>
    <w:rsid w:val="00D53179"/>
    <w:rsid w:val="00D54257"/>
    <w:rsid w:val="00D54D32"/>
    <w:rsid w:val="00D54F0D"/>
    <w:rsid w:val="00D55815"/>
    <w:rsid w:val="00D55A4B"/>
    <w:rsid w:val="00D560DA"/>
    <w:rsid w:val="00D57CC7"/>
    <w:rsid w:val="00D60819"/>
    <w:rsid w:val="00D609A8"/>
    <w:rsid w:val="00D61710"/>
    <w:rsid w:val="00D61E9E"/>
    <w:rsid w:val="00D63301"/>
    <w:rsid w:val="00D63B57"/>
    <w:rsid w:val="00D66346"/>
    <w:rsid w:val="00D668D7"/>
    <w:rsid w:val="00D66CB4"/>
    <w:rsid w:val="00D66D54"/>
    <w:rsid w:val="00D7066F"/>
    <w:rsid w:val="00D70884"/>
    <w:rsid w:val="00D70A2B"/>
    <w:rsid w:val="00D71756"/>
    <w:rsid w:val="00D71EAD"/>
    <w:rsid w:val="00D71FB9"/>
    <w:rsid w:val="00D72291"/>
    <w:rsid w:val="00D722A0"/>
    <w:rsid w:val="00D76DC6"/>
    <w:rsid w:val="00D76E19"/>
    <w:rsid w:val="00D8070D"/>
    <w:rsid w:val="00D82A92"/>
    <w:rsid w:val="00D82C80"/>
    <w:rsid w:val="00D835FC"/>
    <w:rsid w:val="00D83A2B"/>
    <w:rsid w:val="00D842BB"/>
    <w:rsid w:val="00D84525"/>
    <w:rsid w:val="00D85783"/>
    <w:rsid w:val="00D85908"/>
    <w:rsid w:val="00D86D4B"/>
    <w:rsid w:val="00D86F26"/>
    <w:rsid w:val="00D908FD"/>
    <w:rsid w:val="00D90F20"/>
    <w:rsid w:val="00D91A6C"/>
    <w:rsid w:val="00D91B52"/>
    <w:rsid w:val="00D950CE"/>
    <w:rsid w:val="00D955EA"/>
    <w:rsid w:val="00D95A75"/>
    <w:rsid w:val="00D96BC0"/>
    <w:rsid w:val="00D96BFC"/>
    <w:rsid w:val="00D9764E"/>
    <w:rsid w:val="00DA1D0E"/>
    <w:rsid w:val="00DA28B8"/>
    <w:rsid w:val="00DA2AB5"/>
    <w:rsid w:val="00DA40B0"/>
    <w:rsid w:val="00DA6084"/>
    <w:rsid w:val="00DB008B"/>
    <w:rsid w:val="00DB06BC"/>
    <w:rsid w:val="00DB3780"/>
    <w:rsid w:val="00DB4E24"/>
    <w:rsid w:val="00DB64FB"/>
    <w:rsid w:val="00DB6659"/>
    <w:rsid w:val="00DB69D8"/>
    <w:rsid w:val="00DB7240"/>
    <w:rsid w:val="00DB72EA"/>
    <w:rsid w:val="00DC096C"/>
    <w:rsid w:val="00DC188B"/>
    <w:rsid w:val="00DC39ED"/>
    <w:rsid w:val="00DC44AB"/>
    <w:rsid w:val="00DC4A71"/>
    <w:rsid w:val="00DC5176"/>
    <w:rsid w:val="00DC53CD"/>
    <w:rsid w:val="00DC574E"/>
    <w:rsid w:val="00DC589A"/>
    <w:rsid w:val="00DC683A"/>
    <w:rsid w:val="00DC6D13"/>
    <w:rsid w:val="00DC78C0"/>
    <w:rsid w:val="00DD0CD4"/>
    <w:rsid w:val="00DD20BB"/>
    <w:rsid w:val="00DD24BA"/>
    <w:rsid w:val="00DD426F"/>
    <w:rsid w:val="00DD4F99"/>
    <w:rsid w:val="00DD537A"/>
    <w:rsid w:val="00DD7511"/>
    <w:rsid w:val="00DD7B16"/>
    <w:rsid w:val="00DE2446"/>
    <w:rsid w:val="00DE48E3"/>
    <w:rsid w:val="00DE6165"/>
    <w:rsid w:val="00DE7CE0"/>
    <w:rsid w:val="00DF1724"/>
    <w:rsid w:val="00DF1836"/>
    <w:rsid w:val="00DF2EDB"/>
    <w:rsid w:val="00DF353B"/>
    <w:rsid w:val="00DF3EE6"/>
    <w:rsid w:val="00DF4D27"/>
    <w:rsid w:val="00DF5B2E"/>
    <w:rsid w:val="00DF5CC3"/>
    <w:rsid w:val="00DF7CF6"/>
    <w:rsid w:val="00E015C6"/>
    <w:rsid w:val="00E01F9D"/>
    <w:rsid w:val="00E02BC8"/>
    <w:rsid w:val="00E05C8C"/>
    <w:rsid w:val="00E07D31"/>
    <w:rsid w:val="00E10BA8"/>
    <w:rsid w:val="00E1100C"/>
    <w:rsid w:val="00E12AF6"/>
    <w:rsid w:val="00E133BF"/>
    <w:rsid w:val="00E16DCE"/>
    <w:rsid w:val="00E176B1"/>
    <w:rsid w:val="00E2092B"/>
    <w:rsid w:val="00E21170"/>
    <w:rsid w:val="00E218EB"/>
    <w:rsid w:val="00E21D5B"/>
    <w:rsid w:val="00E2387A"/>
    <w:rsid w:val="00E23B45"/>
    <w:rsid w:val="00E2444F"/>
    <w:rsid w:val="00E2462A"/>
    <w:rsid w:val="00E2582A"/>
    <w:rsid w:val="00E2610D"/>
    <w:rsid w:val="00E302D8"/>
    <w:rsid w:val="00E308BD"/>
    <w:rsid w:val="00E309AA"/>
    <w:rsid w:val="00E316AA"/>
    <w:rsid w:val="00E34D91"/>
    <w:rsid w:val="00E35815"/>
    <w:rsid w:val="00E35986"/>
    <w:rsid w:val="00E35B83"/>
    <w:rsid w:val="00E3760A"/>
    <w:rsid w:val="00E412A8"/>
    <w:rsid w:val="00E4232C"/>
    <w:rsid w:val="00E4233F"/>
    <w:rsid w:val="00E43751"/>
    <w:rsid w:val="00E44FCD"/>
    <w:rsid w:val="00E465EC"/>
    <w:rsid w:val="00E47936"/>
    <w:rsid w:val="00E502EE"/>
    <w:rsid w:val="00E51129"/>
    <w:rsid w:val="00E530B9"/>
    <w:rsid w:val="00E53959"/>
    <w:rsid w:val="00E53E43"/>
    <w:rsid w:val="00E54729"/>
    <w:rsid w:val="00E60068"/>
    <w:rsid w:val="00E616BB"/>
    <w:rsid w:val="00E61F97"/>
    <w:rsid w:val="00E63A50"/>
    <w:rsid w:val="00E64173"/>
    <w:rsid w:val="00E645F1"/>
    <w:rsid w:val="00E6555A"/>
    <w:rsid w:val="00E65913"/>
    <w:rsid w:val="00E66F53"/>
    <w:rsid w:val="00E70072"/>
    <w:rsid w:val="00E71B2D"/>
    <w:rsid w:val="00E72E9B"/>
    <w:rsid w:val="00E75610"/>
    <w:rsid w:val="00E75B60"/>
    <w:rsid w:val="00E75D59"/>
    <w:rsid w:val="00E76D22"/>
    <w:rsid w:val="00E773A8"/>
    <w:rsid w:val="00E77CED"/>
    <w:rsid w:val="00E807DE"/>
    <w:rsid w:val="00E845D2"/>
    <w:rsid w:val="00E8612C"/>
    <w:rsid w:val="00E864C1"/>
    <w:rsid w:val="00E864FF"/>
    <w:rsid w:val="00E86DF0"/>
    <w:rsid w:val="00E87702"/>
    <w:rsid w:val="00E87747"/>
    <w:rsid w:val="00E87800"/>
    <w:rsid w:val="00E879B8"/>
    <w:rsid w:val="00E87BF7"/>
    <w:rsid w:val="00E94645"/>
    <w:rsid w:val="00E947C0"/>
    <w:rsid w:val="00E94E2F"/>
    <w:rsid w:val="00E95793"/>
    <w:rsid w:val="00E95FA4"/>
    <w:rsid w:val="00E96BC2"/>
    <w:rsid w:val="00EA00D3"/>
    <w:rsid w:val="00EA13FE"/>
    <w:rsid w:val="00EA2E86"/>
    <w:rsid w:val="00EA2EC9"/>
    <w:rsid w:val="00EA5656"/>
    <w:rsid w:val="00EA6A80"/>
    <w:rsid w:val="00EA7848"/>
    <w:rsid w:val="00EB0C3B"/>
    <w:rsid w:val="00EB11F2"/>
    <w:rsid w:val="00EB16BA"/>
    <w:rsid w:val="00EB66C5"/>
    <w:rsid w:val="00EB7212"/>
    <w:rsid w:val="00EB7326"/>
    <w:rsid w:val="00EC3D5B"/>
    <w:rsid w:val="00EC3FC7"/>
    <w:rsid w:val="00EC48D7"/>
    <w:rsid w:val="00EC677F"/>
    <w:rsid w:val="00EC7878"/>
    <w:rsid w:val="00ED08AA"/>
    <w:rsid w:val="00ED0958"/>
    <w:rsid w:val="00ED0B38"/>
    <w:rsid w:val="00ED1966"/>
    <w:rsid w:val="00ED1D13"/>
    <w:rsid w:val="00ED220C"/>
    <w:rsid w:val="00ED4E49"/>
    <w:rsid w:val="00ED5DD1"/>
    <w:rsid w:val="00ED7333"/>
    <w:rsid w:val="00EE1047"/>
    <w:rsid w:val="00EE1866"/>
    <w:rsid w:val="00EE244B"/>
    <w:rsid w:val="00EE34B5"/>
    <w:rsid w:val="00EE39E6"/>
    <w:rsid w:val="00EE3FD6"/>
    <w:rsid w:val="00EE46CA"/>
    <w:rsid w:val="00EE6B60"/>
    <w:rsid w:val="00EF04C9"/>
    <w:rsid w:val="00EF10F0"/>
    <w:rsid w:val="00EF2CAC"/>
    <w:rsid w:val="00EF4798"/>
    <w:rsid w:val="00EF580D"/>
    <w:rsid w:val="00EF5C52"/>
    <w:rsid w:val="00F00CAB"/>
    <w:rsid w:val="00F00D69"/>
    <w:rsid w:val="00F01EF4"/>
    <w:rsid w:val="00F039F1"/>
    <w:rsid w:val="00F03A7C"/>
    <w:rsid w:val="00F03CC3"/>
    <w:rsid w:val="00F03D99"/>
    <w:rsid w:val="00F0434E"/>
    <w:rsid w:val="00F05612"/>
    <w:rsid w:val="00F062BF"/>
    <w:rsid w:val="00F06AF4"/>
    <w:rsid w:val="00F06EB9"/>
    <w:rsid w:val="00F07133"/>
    <w:rsid w:val="00F117E4"/>
    <w:rsid w:val="00F118A7"/>
    <w:rsid w:val="00F11A2A"/>
    <w:rsid w:val="00F11D11"/>
    <w:rsid w:val="00F11D7F"/>
    <w:rsid w:val="00F133C0"/>
    <w:rsid w:val="00F14432"/>
    <w:rsid w:val="00F161BA"/>
    <w:rsid w:val="00F175B9"/>
    <w:rsid w:val="00F20844"/>
    <w:rsid w:val="00F21B7B"/>
    <w:rsid w:val="00F21CFB"/>
    <w:rsid w:val="00F2215E"/>
    <w:rsid w:val="00F22CF0"/>
    <w:rsid w:val="00F22F28"/>
    <w:rsid w:val="00F2444C"/>
    <w:rsid w:val="00F24903"/>
    <w:rsid w:val="00F2570A"/>
    <w:rsid w:val="00F25D44"/>
    <w:rsid w:val="00F267B2"/>
    <w:rsid w:val="00F27224"/>
    <w:rsid w:val="00F27514"/>
    <w:rsid w:val="00F308ED"/>
    <w:rsid w:val="00F31AEF"/>
    <w:rsid w:val="00F32EC7"/>
    <w:rsid w:val="00F34EB7"/>
    <w:rsid w:val="00F36706"/>
    <w:rsid w:val="00F369C3"/>
    <w:rsid w:val="00F37E5C"/>
    <w:rsid w:val="00F4287C"/>
    <w:rsid w:val="00F44571"/>
    <w:rsid w:val="00F44DB9"/>
    <w:rsid w:val="00F453EC"/>
    <w:rsid w:val="00F456C9"/>
    <w:rsid w:val="00F46A01"/>
    <w:rsid w:val="00F4728C"/>
    <w:rsid w:val="00F474C1"/>
    <w:rsid w:val="00F47B3A"/>
    <w:rsid w:val="00F50083"/>
    <w:rsid w:val="00F518B7"/>
    <w:rsid w:val="00F52A86"/>
    <w:rsid w:val="00F53140"/>
    <w:rsid w:val="00F54BDF"/>
    <w:rsid w:val="00F54C8B"/>
    <w:rsid w:val="00F61550"/>
    <w:rsid w:val="00F63265"/>
    <w:rsid w:val="00F638AB"/>
    <w:rsid w:val="00F64EAD"/>
    <w:rsid w:val="00F702FD"/>
    <w:rsid w:val="00F708C8"/>
    <w:rsid w:val="00F728EB"/>
    <w:rsid w:val="00F748C7"/>
    <w:rsid w:val="00F74B4F"/>
    <w:rsid w:val="00F74C32"/>
    <w:rsid w:val="00F76934"/>
    <w:rsid w:val="00F773CB"/>
    <w:rsid w:val="00F77588"/>
    <w:rsid w:val="00F77748"/>
    <w:rsid w:val="00F77B0E"/>
    <w:rsid w:val="00F77B45"/>
    <w:rsid w:val="00F809A8"/>
    <w:rsid w:val="00F83B09"/>
    <w:rsid w:val="00F84252"/>
    <w:rsid w:val="00F84419"/>
    <w:rsid w:val="00F85874"/>
    <w:rsid w:val="00F85C9E"/>
    <w:rsid w:val="00F85E90"/>
    <w:rsid w:val="00F87657"/>
    <w:rsid w:val="00F87747"/>
    <w:rsid w:val="00F87926"/>
    <w:rsid w:val="00F907DB"/>
    <w:rsid w:val="00F91BC4"/>
    <w:rsid w:val="00F9425D"/>
    <w:rsid w:val="00F961CC"/>
    <w:rsid w:val="00F96550"/>
    <w:rsid w:val="00F96AA1"/>
    <w:rsid w:val="00F976BA"/>
    <w:rsid w:val="00F97741"/>
    <w:rsid w:val="00FA0A4F"/>
    <w:rsid w:val="00FA1874"/>
    <w:rsid w:val="00FA5111"/>
    <w:rsid w:val="00FA5E6D"/>
    <w:rsid w:val="00FA65BD"/>
    <w:rsid w:val="00FA6D9C"/>
    <w:rsid w:val="00FA70E7"/>
    <w:rsid w:val="00FB090D"/>
    <w:rsid w:val="00FB2C26"/>
    <w:rsid w:val="00FB2C5B"/>
    <w:rsid w:val="00FB364D"/>
    <w:rsid w:val="00FB3678"/>
    <w:rsid w:val="00FB4E6D"/>
    <w:rsid w:val="00FB65F1"/>
    <w:rsid w:val="00FB6C4C"/>
    <w:rsid w:val="00FB704F"/>
    <w:rsid w:val="00FC005E"/>
    <w:rsid w:val="00FC141A"/>
    <w:rsid w:val="00FC1C95"/>
    <w:rsid w:val="00FC3BC6"/>
    <w:rsid w:val="00FC438C"/>
    <w:rsid w:val="00FC45BE"/>
    <w:rsid w:val="00FC4CD2"/>
    <w:rsid w:val="00FC697A"/>
    <w:rsid w:val="00FD0043"/>
    <w:rsid w:val="00FD0D00"/>
    <w:rsid w:val="00FD0E1A"/>
    <w:rsid w:val="00FD22A6"/>
    <w:rsid w:val="00FD2FC0"/>
    <w:rsid w:val="00FD349B"/>
    <w:rsid w:val="00FD374C"/>
    <w:rsid w:val="00FD37D8"/>
    <w:rsid w:val="00FD5672"/>
    <w:rsid w:val="00FD7479"/>
    <w:rsid w:val="00FD7C5A"/>
    <w:rsid w:val="00FE0AD3"/>
    <w:rsid w:val="00FE11ED"/>
    <w:rsid w:val="00FE26BE"/>
    <w:rsid w:val="00FE28E4"/>
    <w:rsid w:val="00FE534B"/>
    <w:rsid w:val="00FE6AD6"/>
    <w:rsid w:val="00FF171B"/>
    <w:rsid w:val="00FF227E"/>
    <w:rsid w:val="00FF425A"/>
    <w:rsid w:val="00FF4631"/>
    <w:rsid w:val="00FF4F74"/>
    <w:rsid w:val="00FF70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0DAE"/>
  <w15:docId w15:val="{0DB22A44-122A-4D89-B467-694706E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EastAsia" w:hAnsi="Calisto MT" w:cs="Times New Roman"/>
        <w:sz w:val="21"/>
        <w:szCs w:val="21"/>
        <w:lang w:val="en-AU" w:eastAsia="en-AU" w:bidi="ar-SA"/>
      </w:rPr>
    </w:rPrDefault>
    <w:pPrDefault>
      <w:pPr>
        <w:spacing w:before="140" w:line="280" w:lineRule="atLeast"/>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49"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unhideWhenUsed="1"/>
    <w:lsdException w:name="List Bullet 3" w:uiPriority="2" w:unhideWhenUsed="1"/>
    <w:lsdException w:name="List Bullet 4" w:semiHidden="1" w:unhideWhenUsed="1"/>
    <w:lsdException w:name="List Bullet 5" w:semiHidden="1" w:unhideWhenUsed="1"/>
    <w:lsdException w:name="List Number 2" w:uiPriority="0"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uiPriority="3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lsdException w:name="Intense Emphasis" w:uiPriority="21" w:unhideWhenUsed="1"/>
    <w:lsdException w:name="Subtle Reference" w:uiPriority="31" w:unhideWhenUsed="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6D44B3"/>
    <w:pPr>
      <w:spacing w:before="0"/>
    </w:pPr>
  </w:style>
  <w:style w:type="paragraph" w:styleId="Heading1">
    <w:name w:val="heading 1"/>
    <w:basedOn w:val="BodyText"/>
    <w:next w:val="BodyText"/>
    <w:link w:val="Heading1Char"/>
    <w:qFormat/>
    <w:rsid w:val="00160C29"/>
    <w:pPr>
      <w:keepNext/>
      <w:pageBreakBefore/>
      <w:numPr>
        <w:numId w:val="28"/>
      </w:numPr>
      <w:spacing w:before="0" w:after="1560" w:line="440" w:lineRule="atLeast"/>
      <w:outlineLvl w:val="0"/>
    </w:pPr>
    <w:rPr>
      <w:rFonts w:asciiTheme="majorHAnsi" w:hAnsiTheme="majorHAnsi"/>
      <w:i/>
      <w:kern w:val="28"/>
      <w:sz w:val="36"/>
      <w:szCs w:val="32"/>
    </w:rPr>
  </w:style>
  <w:style w:type="paragraph" w:styleId="Heading2">
    <w:name w:val="heading 2"/>
    <w:basedOn w:val="Heading1"/>
    <w:next w:val="BodyText"/>
    <w:link w:val="Heading2Char"/>
    <w:qFormat/>
    <w:rsid w:val="00160C29"/>
    <w:pPr>
      <w:pageBreakBefore w:val="0"/>
      <w:numPr>
        <w:ilvl w:val="1"/>
      </w:numPr>
      <w:spacing w:before="560" w:after="0" w:line="340" w:lineRule="atLeast"/>
      <w:outlineLvl w:val="1"/>
    </w:pPr>
    <w:rPr>
      <w:b/>
      <w:color w:val="F61D12" w:themeColor="accent2"/>
      <w:sz w:val="30"/>
      <w:szCs w:val="26"/>
    </w:rPr>
  </w:style>
  <w:style w:type="paragraph" w:styleId="Heading3">
    <w:name w:val="heading 3"/>
    <w:basedOn w:val="Heading2"/>
    <w:next w:val="BodyText"/>
    <w:link w:val="Heading3Char"/>
    <w:qFormat/>
    <w:rsid w:val="00160C29"/>
    <w:pPr>
      <w:numPr>
        <w:ilvl w:val="2"/>
      </w:numPr>
      <w:spacing w:before="440" w:line="280" w:lineRule="atLeast"/>
      <w:outlineLvl w:val="2"/>
    </w:pPr>
    <w:rPr>
      <w:rFonts w:ascii="Calisto MT" w:hAnsi="Calisto MT"/>
      <w:color w:val="auto"/>
      <w:sz w:val="25"/>
      <w:szCs w:val="22"/>
    </w:rPr>
  </w:style>
  <w:style w:type="paragraph" w:styleId="Heading4">
    <w:name w:val="heading 4"/>
    <w:basedOn w:val="Heading3"/>
    <w:next w:val="BodyText"/>
    <w:link w:val="Heading4Char"/>
    <w:qFormat/>
    <w:rsid w:val="00160C29"/>
    <w:pPr>
      <w:numPr>
        <w:ilvl w:val="3"/>
      </w:numPr>
      <w:spacing w:before="400" w:line="260" w:lineRule="atLeast"/>
      <w:outlineLvl w:val="3"/>
    </w:pPr>
    <w:rPr>
      <w:color w:val="6F6652" w:themeColor="text2"/>
      <w:sz w:val="21"/>
    </w:rPr>
  </w:style>
  <w:style w:type="paragraph" w:styleId="Heading5">
    <w:name w:val="heading 5"/>
    <w:basedOn w:val="Heading4"/>
    <w:next w:val="BodyText"/>
    <w:link w:val="Heading5Char"/>
    <w:rsid w:val="00742A5F"/>
    <w:pPr>
      <w:numPr>
        <w:ilvl w:val="4"/>
      </w:numPr>
      <w:outlineLvl w:val="4"/>
    </w:pPr>
    <w:rPr>
      <w:rFonts w:asciiTheme="minorHAnsi" w:hAnsiTheme="minorHAnsi"/>
      <w:b w:val="0"/>
    </w:rPr>
  </w:style>
  <w:style w:type="paragraph" w:styleId="Heading6">
    <w:name w:val="heading 6"/>
    <w:basedOn w:val="Heading1"/>
    <w:next w:val="BodyText"/>
    <w:link w:val="Heading6Char"/>
    <w:qFormat/>
    <w:rsid w:val="00160C29"/>
    <w:pPr>
      <w:numPr>
        <w:ilvl w:val="5"/>
      </w:numPr>
      <w:outlineLvl w:val="5"/>
    </w:pPr>
    <w:rPr>
      <w:bCs/>
    </w:rPr>
  </w:style>
  <w:style w:type="paragraph" w:styleId="Heading7">
    <w:name w:val="heading 7"/>
    <w:basedOn w:val="Heading2"/>
    <w:next w:val="BodyText"/>
    <w:link w:val="Heading7Char"/>
    <w:qFormat/>
    <w:rsid w:val="00182068"/>
    <w:pPr>
      <w:numPr>
        <w:ilvl w:val="6"/>
      </w:numPr>
      <w:outlineLvl w:val="6"/>
    </w:pPr>
    <w:rPr>
      <w:rFonts w:ascii="Calisto MT" w:hAnsi="Calisto MT"/>
    </w:rPr>
  </w:style>
  <w:style w:type="paragraph" w:styleId="Heading8">
    <w:name w:val="heading 8"/>
    <w:basedOn w:val="Heading3"/>
    <w:next w:val="BodyText"/>
    <w:link w:val="Heading8Char"/>
    <w:qFormat/>
    <w:rsid w:val="00160C29"/>
    <w:pPr>
      <w:numPr>
        <w:ilvl w:val="7"/>
      </w:numPr>
      <w:outlineLvl w:val="7"/>
    </w:pPr>
  </w:style>
  <w:style w:type="paragraph" w:styleId="Heading9">
    <w:name w:val="heading 9"/>
    <w:basedOn w:val="Heading4"/>
    <w:next w:val="BodyText"/>
    <w:link w:val="Heading9Char"/>
    <w:qFormat/>
    <w:rsid w:val="00160C29"/>
    <w:pPr>
      <w:numPr>
        <w:ilvl w:val="8"/>
        <w:numId w:val="5"/>
      </w:num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B974A4"/>
    <w:pPr>
      <w:numPr>
        <w:numId w:val="11"/>
      </w:numPr>
    </w:pPr>
  </w:style>
  <w:style w:type="paragraph" w:styleId="ListBullet3">
    <w:name w:val="List Bullet 3"/>
    <w:basedOn w:val="ListBullet2"/>
    <w:uiPriority w:val="2"/>
    <w:rsid w:val="00114298"/>
    <w:pPr>
      <w:numPr>
        <w:ilvl w:val="2"/>
      </w:numPr>
    </w:pPr>
  </w:style>
  <w:style w:type="paragraph" w:styleId="ListNumber">
    <w:name w:val="List Number"/>
    <w:basedOn w:val="BodyText"/>
    <w:uiPriority w:val="2"/>
    <w:qFormat/>
    <w:rsid w:val="00160C29"/>
    <w:pPr>
      <w:numPr>
        <w:numId w:val="31"/>
      </w:numPr>
      <w:spacing w:before="70"/>
    </w:pPr>
  </w:style>
  <w:style w:type="paragraph" w:styleId="ListBullet">
    <w:name w:val="List Bullet"/>
    <w:basedOn w:val="BodyText"/>
    <w:link w:val="ListBulletChar"/>
    <w:uiPriority w:val="2"/>
    <w:qFormat/>
    <w:rsid w:val="00160C29"/>
    <w:pPr>
      <w:numPr>
        <w:numId w:val="11"/>
      </w:numPr>
      <w:spacing w:before="70"/>
    </w:pPr>
  </w:style>
  <w:style w:type="paragraph" w:customStyle="1" w:styleId="Contents">
    <w:name w:val="Contents"/>
    <w:basedOn w:val="Heading1"/>
    <w:next w:val="TOC1"/>
    <w:uiPriority w:val="99"/>
    <w:rsid w:val="005C386A"/>
    <w:pPr>
      <w:pageBreakBefore w:val="0"/>
      <w:numPr>
        <w:numId w:val="0"/>
      </w:numPr>
    </w:pPr>
  </w:style>
  <w:style w:type="paragraph" w:customStyle="1" w:styleId="RecommendationNumber2">
    <w:name w:val="Recommendation Number 2"/>
    <w:basedOn w:val="RecommendationNumber"/>
    <w:uiPriority w:val="28"/>
    <w:rsid w:val="001E2A83"/>
    <w:pPr>
      <w:numPr>
        <w:ilvl w:val="1"/>
      </w:numPr>
    </w:pPr>
  </w:style>
  <w:style w:type="paragraph" w:customStyle="1" w:styleId="RecommendationHeading">
    <w:name w:val="Recommendation Heading"/>
    <w:basedOn w:val="BodyText"/>
    <w:next w:val="RecommendationNumber"/>
    <w:uiPriority w:val="28"/>
    <w:unhideWhenUsed/>
    <w:rsid w:val="00CA364E"/>
    <w:pPr>
      <w:spacing w:before="280"/>
    </w:pPr>
    <w:rPr>
      <w:rFonts w:ascii="Franklin Gothic Demi" w:hAnsi="Franklin Gothic Demi"/>
      <w:caps/>
      <w:color w:val="6F6652" w:themeColor="text2"/>
      <w:spacing w:val="10"/>
    </w:rPr>
  </w:style>
  <w:style w:type="paragraph" w:customStyle="1" w:styleId="Subtitlebox">
    <w:name w:val="Subtitle box"/>
    <w:aliases w:val="chart,table"/>
    <w:basedOn w:val="Caption"/>
    <w:uiPriority w:val="5"/>
    <w:rsid w:val="00425BAF"/>
    <w:pPr>
      <w:spacing w:before="0"/>
    </w:pPr>
    <w:rPr>
      <w:rFonts w:ascii="Franklin Gothic Book" w:hAnsi="Franklin Gothic Book"/>
      <w:sz w:val="17"/>
    </w:rPr>
  </w:style>
  <w:style w:type="paragraph" w:styleId="BodyText">
    <w:name w:val="Body Text"/>
    <w:basedOn w:val="Normal"/>
    <w:link w:val="BodyTextChar"/>
    <w:uiPriority w:val="2"/>
    <w:qFormat/>
    <w:rsid w:val="00160C29"/>
    <w:pPr>
      <w:spacing w:before="140"/>
    </w:pPr>
    <w:rPr>
      <w:rFonts w:asciiTheme="minorHAnsi" w:eastAsia="Times New Roman" w:hAnsiTheme="minorHAnsi"/>
    </w:rPr>
  </w:style>
  <w:style w:type="paragraph" w:styleId="ListNumber2">
    <w:name w:val="List Number 2"/>
    <w:basedOn w:val="BodyText"/>
    <w:uiPriority w:val="2"/>
    <w:rsid w:val="00497862"/>
    <w:pPr>
      <w:numPr>
        <w:ilvl w:val="1"/>
        <w:numId w:val="31"/>
      </w:numPr>
      <w:spacing w:before="40"/>
    </w:pPr>
  </w:style>
  <w:style w:type="character" w:customStyle="1" w:styleId="BodyTextChar">
    <w:name w:val="Body Text Char"/>
    <w:link w:val="BodyText"/>
    <w:uiPriority w:val="2"/>
    <w:rsid w:val="00160C29"/>
    <w:rPr>
      <w:rFonts w:asciiTheme="minorHAnsi" w:eastAsia="Times New Roman" w:hAnsiTheme="minorHAnsi"/>
    </w:rPr>
  </w:style>
  <w:style w:type="paragraph" w:styleId="Caption">
    <w:name w:val="caption"/>
    <w:basedOn w:val="BodyText"/>
    <w:next w:val="Subtitlebox"/>
    <w:link w:val="CaptionChar"/>
    <w:uiPriority w:val="99"/>
    <w:unhideWhenUsed/>
    <w:qFormat/>
    <w:rsid w:val="00160C29"/>
    <w:pPr>
      <w:keepNext/>
      <w:spacing w:before="360" w:after="80" w:line="260" w:lineRule="atLeast"/>
    </w:pPr>
    <w:rPr>
      <w:rFonts w:ascii="Franklin Gothic Demi" w:hAnsi="Franklin Gothic Demi"/>
      <w:szCs w:val="20"/>
    </w:rPr>
  </w:style>
  <w:style w:type="paragraph" w:customStyle="1" w:styleId="BoxHeading1">
    <w:name w:val="Box Heading 1"/>
    <w:basedOn w:val="Heading4"/>
    <w:next w:val="BodyText"/>
    <w:uiPriority w:val="9"/>
    <w:rsid w:val="009D667E"/>
    <w:pPr>
      <w:spacing w:before="240"/>
    </w:pPr>
    <w:rPr>
      <w:rFonts w:ascii="Franklin Gothic Demi" w:hAnsi="Franklin Gothic Demi"/>
      <w:b w:val="0"/>
      <w:i w:val="0"/>
      <w:color w:val="F61D12" w:themeColor="accent2"/>
    </w:rPr>
  </w:style>
  <w:style w:type="paragraph" w:customStyle="1" w:styleId="BoxHeading2">
    <w:name w:val="Box Heading 2"/>
    <w:basedOn w:val="BoxHeading1"/>
    <w:next w:val="BodyText"/>
    <w:uiPriority w:val="9"/>
    <w:rsid w:val="00F21CFB"/>
    <w:pPr>
      <w:spacing w:before="200"/>
    </w:pPr>
    <w:rPr>
      <w:rFonts w:ascii="Franklin Gothic Medium" w:hAnsi="Franklin Gothic Medium"/>
      <w:szCs w:val="20"/>
    </w:rPr>
  </w:style>
  <w:style w:type="paragraph" w:customStyle="1" w:styleId="ChartText">
    <w:name w:val="Chart Text"/>
    <w:basedOn w:val="TableTextEntries"/>
    <w:link w:val="ChartTextChar"/>
    <w:uiPriority w:val="23"/>
    <w:rsid w:val="00D10883"/>
    <w:pPr>
      <w:spacing w:before="0" w:after="0"/>
    </w:pPr>
    <w:rPr>
      <w:rFonts w:ascii="Franklin Gothic Medium" w:hAnsi="Franklin Gothic Medium"/>
    </w:rPr>
  </w:style>
  <w:style w:type="character" w:customStyle="1" w:styleId="ChartTextChar">
    <w:name w:val="Chart Text Char"/>
    <w:link w:val="ChartText"/>
    <w:uiPriority w:val="23"/>
    <w:rsid w:val="00D10883"/>
    <w:rPr>
      <w:rFonts w:ascii="Franklin Gothic Medium" w:eastAsia="Times New Roman" w:hAnsi="Franklin Gothic Medium"/>
      <w:sz w:val="16"/>
      <w:szCs w:val="18"/>
      <w:lang w:eastAsia="en-US"/>
    </w:rPr>
  </w:style>
  <w:style w:type="paragraph" w:customStyle="1" w:styleId="ChartBoldText">
    <w:name w:val="Chart Bold Text"/>
    <w:basedOn w:val="ChartText"/>
    <w:next w:val="ChartText"/>
    <w:uiPriority w:val="23"/>
    <w:rsid w:val="00DA2AB5"/>
    <w:pPr>
      <w:jc w:val="center"/>
    </w:pPr>
    <w:rPr>
      <w:rFonts w:ascii="Franklin Gothic Demi" w:hAnsi="Franklin Gothic Demi"/>
      <w:szCs w:val="17"/>
    </w:rPr>
  </w:style>
  <w:style w:type="paragraph" w:customStyle="1" w:styleId="ChartHighlight">
    <w:name w:val="Chart Highlight"/>
    <w:basedOn w:val="ChartBoldText"/>
    <w:uiPriority w:val="22"/>
    <w:rsid w:val="00DA2AB5"/>
    <w:pPr>
      <w:spacing w:line="220" w:lineRule="atLeast"/>
    </w:pPr>
    <w:rPr>
      <w:caps/>
      <w:sz w:val="20"/>
    </w:rPr>
  </w:style>
  <w:style w:type="paragraph" w:customStyle="1" w:styleId="Client">
    <w:name w:val="Client"/>
    <w:basedOn w:val="BodyText"/>
    <w:uiPriority w:val="32"/>
    <w:rsid w:val="00DA40B0"/>
    <w:pPr>
      <w:spacing w:before="0"/>
    </w:pPr>
    <w:rPr>
      <w:i/>
      <w:sz w:val="25"/>
    </w:rPr>
  </w:style>
  <w:style w:type="character" w:styleId="CommentReference">
    <w:name w:val="annotation reference"/>
    <w:basedOn w:val="BodyTextChar"/>
    <w:uiPriority w:val="49"/>
    <w:semiHidden/>
    <w:rsid w:val="000B2602"/>
    <w:rPr>
      <w:rFonts w:ascii="Franklin Gothic Demi" w:eastAsia="Times New Roman" w:hAnsi="Franklin Gothic Demi" w:cs="Times New Roman"/>
      <w:b w:val="0"/>
      <w:vanish/>
      <w:color w:val="FF00FF"/>
      <w:sz w:val="18"/>
      <w:szCs w:val="16"/>
    </w:rPr>
  </w:style>
  <w:style w:type="paragraph" w:styleId="CommentText">
    <w:name w:val="annotation text"/>
    <w:basedOn w:val="BodyText"/>
    <w:link w:val="CommentTextChar"/>
    <w:uiPriority w:val="49"/>
    <w:semiHidden/>
    <w:rsid w:val="00D83A2B"/>
    <w:pPr>
      <w:spacing w:before="80" w:line="240" w:lineRule="atLeast"/>
    </w:pPr>
    <w:rPr>
      <w:sz w:val="20"/>
      <w:szCs w:val="20"/>
    </w:rPr>
  </w:style>
  <w:style w:type="character" w:customStyle="1" w:styleId="CommentTextChar">
    <w:name w:val="Comment Text Char"/>
    <w:basedOn w:val="DefaultParagraphFont"/>
    <w:link w:val="CommentText"/>
    <w:uiPriority w:val="49"/>
    <w:semiHidden/>
    <w:rsid w:val="00D24560"/>
    <w:rPr>
      <w:rFonts w:asciiTheme="minorHAnsi" w:eastAsia="Times New Roman" w:hAnsiTheme="minorHAnsi"/>
      <w:sz w:val="20"/>
      <w:szCs w:val="20"/>
    </w:rPr>
  </w:style>
  <w:style w:type="numbering" w:customStyle="1" w:styleId="ChartListBullets">
    <w:name w:val="ChartListBullets"/>
    <w:uiPriority w:val="99"/>
    <w:rsid w:val="00CC4851"/>
    <w:pPr>
      <w:numPr>
        <w:numId w:val="3"/>
      </w:numPr>
    </w:pPr>
  </w:style>
  <w:style w:type="paragraph" w:customStyle="1" w:styleId="TableTextEntries">
    <w:name w:val="Table Text Entries"/>
    <w:basedOn w:val="BodyText"/>
    <w:uiPriority w:val="13"/>
    <w:rsid w:val="00BA1241"/>
    <w:pPr>
      <w:keepLines/>
      <w:spacing w:before="80" w:after="80" w:line="200" w:lineRule="atLeast"/>
    </w:pPr>
    <w:rPr>
      <w:rFonts w:ascii="Franklin Gothic Book" w:hAnsi="Franklin Gothic Book"/>
      <w:sz w:val="16"/>
      <w:szCs w:val="18"/>
      <w:lang w:eastAsia="en-US"/>
    </w:rPr>
  </w:style>
  <w:style w:type="paragraph" w:customStyle="1" w:styleId="Note">
    <w:name w:val="Note"/>
    <w:basedOn w:val="TableTextEntries"/>
    <w:next w:val="Source"/>
    <w:link w:val="NoteCharChar"/>
    <w:uiPriority w:val="15"/>
    <w:rsid w:val="008D63BD"/>
    <w:pPr>
      <w:spacing w:before="40" w:after="0" w:line="180" w:lineRule="atLeast"/>
    </w:pPr>
    <w:rPr>
      <w:sz w:val="14"/>
      <w:szCs w:val="16"/>
    </w:rPr>
  </w:style>
  <w:style w:type="character" w:customStyle="1" w:styleId="NoteCharChar">
    <w:name w:val="Note Char Char"/>
    <w:link w:val="Note"/>
    <w:uiPriority w:val="15"/>
    <w:rsid w:val="008D63BD"/>
    <w:rPr>
      <w:rFonts w:ascii="Franklin Gothic Medium" w:eastAsia="Times New Roman" w:hAnsi="Franklin Gothic Medium" w:cs="Times New Roman"/>
      <w:sz w:val="14"/>
      <w:szCs w:val="16"/>
      <w:lang w:eastAsia="en-US"/>
    </w:rPr>
  </w:style>
  <w:style w:type="paragraph" w:customStyle="1" w:styleId="Source">
    <w:name w:val="Source"/>
    <w:basedOn w:val="Note"/>
    <w:next w:val="BodyText"/>
    <w:link w:val="SourceChar"/>
    <w:uiPriority w:val="16"/>
    <w:rsid w:val="008D63BD"/>
    <w:pPr>
      <w:spacing w:after="60"/>
    </w:pPr>
  </w:style>
  <w:style w:type="paragraph" w:customStyle="1" w:styleId="Continued">
    <w:name w:val="Continued"/>
    <w:basedOn w:val="Source"/>
    <w:next w:val="BodyText"/>
    <w:link w:val="ContinuedChar"/>
    <w:uiPriority w:val="17"/>
    <w:rsid w:val="00BA1241"/>
    <w:pPr>
      <w:jc w:val="right"/>
    </w:pPr>
  </w:style>
  <w:style w:type="paragraph" w:styleId="Title">
    <w:name w:val="Title"/>
    <w:basedOn w:val="Normal"/>
    <w:next w:val="Subtitle"/>
    <w:link w:val="TitleChar"/>
    <w:uiPriority w:val="29"/>
    <w:qFormat/>
    <w:rsid w:val="00160C29"/>
    <w:pPr>
      <w:spacing w:line="500" w:lineRule="atLeast"/>
    </w:pPr>
    <w:rPr>
      <w:rFonts w:asciiTheme="majorHAnsi" w:eastAsia="Times New Roman" w:hAnsiTheme="majorHAnsi"/>
      <w:spacing w:val="-2"/>
      <w:kern w:val="28"/>
      <w:sz w:val="44"/>
      <w:szCs w:val="48"/>
    </w:rPr>
  </w:style>
  <w:style w:type="character" w:customStyle="1" w:styleId="TitleChar">
    <w:name w:val="Title Char"/>
    <w:basedOn w:val="DefaultParagraphFont"/>
    <w:link w:val="Title"/>
    <w:uiPriority w:val="29"/>
    <w:rsid w:val="00160C29"/>
    <w:rPr>
      <w:rFonts w:asciiTheme="majorHAnsi" w:eastAsia="Times New Roman" w:hAnsiTheme="majorHAnsi"/>
      <w:spacing w:val="-2"/>
      <w:kern w:val="28"/>
      <w:sz w:val="44"/>
      <w:szCs w:val="48"/>
    </w:rPr>
  </w:style>
  <w:style w:type="paragraph" w:styleId="Subtitle">
    <w:name w:val="Subtitle"/>
    <w:basedOn w:val="Title"/>
    <w:link w:val="SubtitleChar"/>
    <w:uiPriority w:val="30"/>
    <w:qFormat/>
    <w:rsid w:val="00160C29"/>
    <w:pPr>
      <w:spacing w:before="280" w:line="320" w:lineRule="atLeast"/>
    </w:pPr>
    <w:rPr>
      <w:sz w:val="25"/>
      <w:szCs w:val="28"/>
    </w:rPr>
  </w:style>
  <w:style w:type="character" w:customStyle="1" w:styleId="SubtitleChar">
    <w:name w:val="Subtitle Char"/>
    <w:basedOn w:val="DefaultParagraphFont"/>
    <w:link w:val="Subtitle"/>
    <w:uiPriority w:val="30"/>
    <w:rsid w:val="00160C29"/>
    <w:rPr>
      <w:rFonts w:asciiTheme="majorHAnsi" w:eastAsia="Times New Roman" w:hAnsiTheme="majorHAnsi"/>
      <w:spacing w:val="-2"/>
      <w:kern w:val="28"/>
      <w:sz w:val="25"/>
      <w:szCs w:val="28"/>
    </w:rPr>
  </w:style>
  <w:style w:type="paragraph" w:styleId="Date">
    <w:name w:val="Date"/>
    <w:basedOn w:val="Subtitle"/>
    <w:link w:val="DateChar"/>
    <w:uiPriority w:val="33"/>
    <w:rsid w:val="00DA40B0"/>
    <w:pPr>
      <w:spacing w:before="140" w:line="280" w:lineRule="atLeast"/>
    </w:pPr>
    <w:rPr>
      <w:i/>
      <w:color w:val="6F6652" w:themeColor="text2"/>
      <w:spacing w:val="0"/>
    </w:rPr>
  </w:style>
  <w:style w:type="character" w:customStyle="1" w:styleId="DateChar">
    <w:name w:val="Date Char"/>
    <w:basedOn w:val="DefaultParagraphFont"/>
    <w:link w:val="Date"/>
    <w:uiPriority w:val="33"/>
    <w:rsid w:val="001624ED"/>
    <w:rPr>
      <w:rFonts w:asciiTheme="majorHAnsi" w:eastAsia="Times New Roman" w:hAnsiTheme="majorHAnsi"/>
      <w:i/>
      <w:color w:val="6F6652" w:themeColor="text2"/>
      <w:kern w:val="28"/>
      <w:sz w:val="25"/>
      <w:szCs w:val="28"/>
    </w:rPr>
  </w:style>
  <w:style w:type="character" w:customStyle="1" w:styleId="DraftingNote">
    <w:name w:val="Drafting Note"/>
    <w:uiPriority w:val="2"/>
    <w:rsid w:val="00F31AEF"/>
    <w:rPr>
      <w:rFonts w:asciiTheme="minorHAnsi" w:hAnsiTheme="minorHAnsi"/>
      <w:b/>
      <w:color w:val="0070C0"/>
      <w:u w:val="dotted"/>
    </w:rPr>
  </w:style>
  <w:style w:type="paragraph" w:styleId="Footer">
    <w:name w:val="footer"/>
    <w:basedOn w:val="BodyText"/>
    <w:link w:val="FooterChar"/>
    <w:uiPriority w:val="99"/>
    <w:rsid w:val="00B52205"/>
    <w:pPr>
      <w:spacing w:before="0" w:line="200" w:lineRule="atLeast"/>
    </w:pPr>
    <w:rPr>
      <w:i/>
      <w:color w:val="6F6652" w:themeColor="text2"/>
      <w:sz w:val="16"/>
      <w:szCs w:val="14"/>
    </w:rPr>
  </w:style>
  <w:style w:type="character" w:customStyle="1" w:styleId="FooterChar">
    <w:name w:val="Footer Char"/>
    <w:basedOn w:val="DefaultParagraphFont"/>
    <w:link w:val="Footer"/>
    <w:uiPriority w:val="99"/>
    <w:rsid w:val="001624ED"/>
    <w:rPr>
      <w:rFonts w:asciiTheme="minorHAnsi" w:eastAsia="Times New Roman" w:hAnsiTheme="minorHAnsi"/>
      <w:i/>
      <w:color w:val="6F6652" w:themeColor="text2"/>
      <w:sz w:val="16"/>
      <w:szCs w:val="14"/>
    </w:rPr>
  </w:style>
  <w:style w:type="character" w:styleId="FootnoteReference">
    <w:name w:val="footnote reference"/>
    <w:uiPriority w:val="25"/>
    <w:unhideWhenUsed/>
    <w:rsid w:val="008A036A"/>
    <w:rPr>
      <w:rFonts w:ascii="Calisto MT" w:hAnsi="Calisto MT"/>
      <w:b w:val="0"/>
      <w:i w:val="0"/>
      <w:color w:val="auto"/>
      <w:w w:val="100"/>
      <w:position w:val="4"/>
      <w:sz w:val="18"/>
      <w:szCs w:val="21"/>
      <w:vertAlign w:val="baseline"/>
    </w:rPr>
  </w:style>
  <w:style w:type="paragraph" w:styleId="FootnoteText">
    <w:name w:val="footnote text"/>
    <w:basedOn w:val="BodyText"/>
    <w:link w:val="FootnoteTextChar"/>
    <w:uiPriority w:val="25"/>
    <w:unhideWhenUsed/>
    <w:rsid w:val="008A036A"/>
    <w:pPr>
      <w:spacing w:before="80" w:line="240" w:lineRule="atLeast"/>
      <w:ind w:left="284" w:hanging="284"/>
    </w:pPr>
    <w:rPr>
      <w:sz w:val="19"/>
      <w:szCs w:val="18"/>
    </w:rPr>
  </w:style>
  <w:style w:type="character" w:customStyle="1" w:styleId="FootnoteTextChar">
    <w:name w:val="Footnote Text Char"/>
    <w:basedOn w:val="DefaultParagraphFont"/>
    <w:link w:val="FootnoteText"/>
    <w:uiPriority w:val="25"/>
    <w:rsid w:val="002812E4"/>
    <w:rPr>
      <w:rFonts w:asciiTheme="minorHAnsi" w:eastAsia="Times New Roman" w:hAnsiTheme="minorHAnsi"/>
      <w:sz w:val="19"/>
      <w:szCs w:val="18"/>
    </w:rPr>
  </w:style>
  <w:style w:type="paragraph" w:styleId="Header">
    <w:name w:val="header"/>
    <w:basedOn w:val="BodyText"/>
    <w:link w:val="HeaderChar"/>
    <w:uiPriority w:val="99"/>
    <w:rsid w:val="006D44B3"/>
    <w:pPr>
      <w:tabs>
        <w:tab w:val="left" w:pos="-567"/>
        <w:tab w:val="left" w:pos="0"/>
        <w:tab w:val="right" w:pos="7938"/>
        <w:tab w:val="right" w:pos="8505"/>
      </w:tabs>
      <w:spacing w:before="0" w:line="240" w:lineRule="auto"/>
      <w:ind w:left="-2268" w:right="-2268"/>
    </w:pPr>
    <w:rPr>
      <w:rFonts w:ascii="Franklin Gothic Medium" w:hAnsi="Franklin Gothic Medium"/>
      <w:sz w:val="14"/>
      <w:szCs w:val="14"/>
    </w:rPr>
  </w:style>
  <w:style w:type="character" w:customStyle="1" w:styleId="HeaderChar">
    <w:name w:val="Header Char"/>
    <w:basedOn w:val="DefaultParagraphFont"/>
    <w:link w:val="Header"/>
    <w:uiPriority w:val="99"/>
    <w:rsid w:val="006D44B3"/>
    <w:rPr>
      <w:rFonts w:ascii="Franklin Gothic Medium" w:eastAsia="Times New Roman" w:hAnsi="Franklin Gothic Medium"/>
      <w:sz w:val="14"/>
      <w:szCs w:val="14"/>
    </w:rPr>
  </w:style>
  <w:style w:type="character" w:customStyle="1" w:styleId="Heading1Char">
    <w:name w:val="Heading 1 Char"/>
    <w:basedOn w:val="DefaultParagraphFont"/>
    <w:link w:val="Heading1"/>
    <w:rsid w:val="00160C29"/>
    <w:rPr>
      <w:rFonts w:asciiTheme="majorHAnsi" w:eastAsia="Times New Roman" w:hAnsiTheme="majorHAnsi"/>
      <w:i/>
      <w:kern w:val="28"/>
      <w:sz w:val="36"/>
      <w:szCs w:val="32"/>
    </w:rPr>
  </w:style>
  <w:style w:type="character" w:customStyle="1" w:styleId="Heading2Char">
    <w:name w:val="Heading 2 Char"/>
    <w:basedOn w:val="DefaultParagraphFont"/>
    <w:link w:val="Heading2"/>
    <w:rsid w:val="00160C29"/>
    <w:rPr>
      <w:rFonts w:asciiTheme="majorHAnsi" w:eastAsia="Times New Roman" w:hAnsiTheme="majorHAnsi"/>
      <w:b/>
      <w:i/>
      <w:color w:val="F61D12" w:themeColor="accent2"/>
      <w:kern w:val="28"/>
      <w:sz w:val="30"/>
      <w:szCs w:val="26"/>
    </w:rPr>
  </w:style>
  <w:style w:type="paragraph" w:styleId="ListBullet2">
    <w:name w:val="List Bullet 2"/>
    <w:basedOn w:val="ListBullet"/>
    <w:uiPriority w:val="2"/>
    <w:rsid w:val="004C31EE"/>
    <w:pPr>
      <w:numPr>
        <w:ilvl w:val="1"/>
      </w:numPr>
      <w:spacing w:before="40"/>
      <w:ind w:left="568" w:hanging="284"/>
    </w:pPr>
  </w:style>
  <w:style w:type="character" w:customStyle="1" w:styleId="Heading3Char">
    <w:name w:val="Heading 3 Char"/>
    <w:basedOn w:val="DefaultParagraphFont"/>
    <w:link w:val="Heading3"/>
    <w:rsid w:val="00160C29"/>
    <w:rPr>
      <w:rFonts w:eastAsia="Times New Roman"/>
      <w:b/>
      <w:i/>
      <w:kern w:val="28"/>
      <w:sz w:val="25"/>
      <w:szCs w:val="22"/>
    </w:rPr>
  </w:style>
  <w:style w:type="character" w:customStyle="1" w:styleId="Heading4Char">
    <w:name w:val="Heading 4 Char"/>
    <w:basedOn w:val="DefaultParagraphFont"/>
    <w:link w:val="Heading4"/>
    <w:rsid w:val="00160C29"/>
    <w:rPr>
      <w:rFonts w:eastAsia="Times New Roman"/>
      <w:b/>
      <w:i/>
      <w:color w:val="6F6652" w:themeColor="text2"/>
      <w:kern w:val="28"/>
      <w:szCs w:val="22"/>
    </w:rPr>
  </w:style>
  <w:style w:type="character" w:customStyle="1" w:styleId="Heading5Char">
    <w:name w:val="Heading 5 Char"/>
    <w:basedOn w:val="DefaultParagraphFont"/>
    <w:link w:val="Heading5"/>
    <w:rsid w:val="00742A5F"/>
    <w:rPr>
      <w:rFonts w:asciiTheme="minorHAnsi" w:eastAsia="Times New Roman" w:hAnsiTheme="minorHAnsi"/>
      <w:i/>
      <w:color w:val="6F6652" w:themeColor="text2"/>
      <w:kern w:val="28"/>
      <w:szCs w:val="22"/>
    </w:rPr>
  </w:style>
  <w:style w:type="character" w:customStyle="1" w:styleId="Heading6Char">
    <w:name w:val="Heading 6 Char"/>
    <w:basedOn w:val="DefaultParagraphFont"/>
    <w:link w:val="Heading6"/>
    <w:rsid w:val="00160C29"/>
    <w:rPr>
      <w:rFonts w:asciiTheme="majorHAnsi" w:eastAsia="Times New Roman" w:hAnsiTheme="majorHAnsi"/>
      <w:bCs/>
      <w:i/>
      <w:kern w:val="28"/>
      <w:sz w:val="36"/>
      <w:szCs w:val="32"/>
    </w:rPr>
  </w:style>
  <w:style w:type="character" w:customStyle="1" w:styleId="Heading7Char">
    <w:name w:val="Heading 7 Char"/>
    <w:basedOn w:val="DefaultParagraphFont"/>
    <w:link w:val="Heading7"/>
    <w:rsid w:val="00182068"/>
    <w:rPr>
      <w:rFonts w:eastAsia="Times New Roman"/>
      <w:b/>
      <w:i/>
      <w:color w:val="F61D12" w:themeColor="accent2"/>
      <w:kern w:val="28"/>
      <w:sz w:val="30"/>
      <w:szCs w:val="26"/>
    </w:rPr>
  </w:style>
  <w:style w:type="character" w:customStyle="1" w:styleId="Heading8Char">
    <w:name w:val="Heading 8 Char"/>
    <w:basedOn w:val="DefaultParagraphFont"/>
    <w:link w:val="Heading8"/>
    <w:rsid w:val="00160C29"/>
    <w:rPr>
      <w:rFonts w:eastAsia="Times New Roman"/>
      <w:b/>
      <w:i/>
      <w:kern w:val="28"/>
      <w:sz w:val="25"/>
      <w:szCs w:val="22"/>
    </w:rPr>
  </w:style>
  <w:style w:type="character" w:customStyle="1" w:styleId="Heading9Char">
    <w:name w:val="Heading 9 Char"/>
    <w:basedOn w:val="DefaultParagraphFont"/>
    <w:link w:val="Heading9"/>
    <w:rsid w:val="00160C29"/>
    <w:rPr>
      <w:rFonts w:eastAsia="Times New Roman"/>
      <w:b/>
      <w:i/>
      <w:kern w:val="28"/>
      <w:szCs w:val="22"/>
    </w:rPr>
  </w:style>
  <w:style w:type="character" w:styleId="Hyperlink">
    <w:name w:val="Hyperlink"/>
    <w:uiPriority w:val="99"/>
    <w:semiHidden/>
    <w:rsid w:val="00FE6AD6"/>
    <w:rPr>
      <w:b w:val="0"/>
      <w:i w:val="0"/>
      <w:color w:val="6F6652" w:themeColor="text2"/>
      <w:u w:val="none"/>
    </w:rPr>
  </w:style>
  <w:style w:type="paragraph" w:customStyle="1" w:styleId="Invisiblepara">
    <w:name w:val="Invisible para"/>
    <w:basedOn w:val="Normal"/>
    <w:uiPriority w:val="99"/>
    <w:rsid w:val="00664723"/>
    <w:pPr>
      <w:keepNext/>
      <w:spacing w:before="320" w:line="80" w:lineRule="exact"/>
    </w:pPr>
    <w:rPr>
      <w:rFonts w:eastAsia="Times New Roman"/>
      <w:szCs w:val="20"/>
    </w:rPr>
  </w:style>
  <w:style w:type="character" w:customStyle="1" w:styleId="NoteLabel">
    <w:name w:val="Note Label"/>
    <w:uiPriority w:val="15"/>
    <w:rsid w:val="008D63BD"/>
    <w:rPr>
      <w:rFonts w:ascii="Franklin Gothic Demi" w:hAnsi="Franklin Gothic Demi"/>
      <w:b w:val="0"/>
      <w:i w:val="0"/>
      <w:color w:val="9B917E" w:themeColor="accent4"/>
      <w:position w:val="4"/>
      <w:sz w:val="14"/>
      <w:szCs w:val="16"/>
    </w:rPr>
  </w:style>
  <w:style w:type="character" w:styleId="PageNumber">
    <w:name w:val="page number"/>
    <w:uiPriority w:val="99"/>
    <w:rsid w:val="00AB00C7"/>
    <w:rPr>
      <w:rFonts w:ascii="Franklin Gothic Demi" w:hAnsi="Franklin Gothic Demi"/>
      <w:b w:val="0"/>
      <w:color w:val="006B7A" w:themeColor="accent1"/>
      <w:sz w:val="20"/>
      <w:szCs w:val="20"/>
    </w:rPr>
  </w:style>
  <w:style w:type="paragraph" w:styleId="Quote">
    <w:name w:val="Quote"/>
    <w:basedOn w:val="BodyText"/>
    <w:next w:val="BodyText"/>
    <w:link w:val="QuoteChar"/>
    <w:uiPriority w:val="3"/>
    <w:qFormat/>
    <w:rsid w:val="00160C29"/>
    <w:pPr>
      <w:spacing w:before="70" w:line="260" w:lineRule="atLeast"/>
      <w:ind w:left="284"/>
    </w:pPr>
    <w:rPr>
      <w:sz w:val="19"/>
      <w:szCs w:val="20"/>
    </w:rPr>
  </w:style>
  <w:style w:type="character" w:customStyle="1" w:styleId="QuoteChar">
    <w:name w:val="Quote Char"/>
    <w:basedOn w:val="DefaultParagraphFont"/>
    <w:link w:val="Quote"/>
    <w:uiPriority w:val="3"/>
    <w:rsid w:val="00160C29"/>
    <w:rPr>
      <w:rFonts w:asciiTheme="minorHAnsi" w:eastAsia="Times New Roman" w:hAnsiTheme="minorHAnsi"/>
      <w:sz w:val="19"/>
      <w:szCs w:val="20"/>
    </w:rPr>
  </w:style>
  <w:style w:type="paragraph" w:customStyle="1" w:styleId="RecommendationNumber">
    <w:name w:val="Recommendation Number"/>
    <w:basedOn w:val="BodyText"/>
    <w:next w:val="RecommendationNumber2"/>
    <w:uiPriority w:val="28"/>
    <w:rsid w:val="002C0234"/>
    <w:pPr>
      <w:numPr>
        <w:numId w:val="10"/>
      </w:numPr>
      <w:spacing w:before="80"/>
    </w:pPr>
    <w:rPr>
      <w:rFonts w:ascii="Franklin Gothic Book" w:eastAsia="MS Mincho" w:hAnsi="Franklin Gothic Book" w:cs="MS Mincho"/>
    </w:rPr>
  </w:style>
  <w:style w:type="paragraph" w:customStyle="1" w:styleId="Reference">
    <w:name w:val="Reference"/>
    <w:basedOn w:val="BodyText"/>
    <w:uiPriority w:val="3"/>
    <w:qFormat/>
    <w:rsid w:val="00160C29"/>
    <w:pPr>
      <w:spacing w:before="70" w:line="260" w:lineRule="atLeast"/>
      <w:ind w:left="284" w:hanging="284"/>
    </w:pPr>
    <w:rPr>
      <w:sz w:val="19"/>
      <w:szCs w:val="20"/>
    </w:rPr>
  </w:style>
  <w:style w:type="paragraph" w:customStyle="1" w:styleId="Reporttype">
    <w:name w:val="Report type"/>
    <w:basedOn w:val="Date"/>
    <w:next w:val="Title"/>
    <w:uiPriority w:val="31"/>
    <w:rsid w:val="009A4238"/>
    <w:pPr>
      <w:spacing w:before="0" w:after="280" w:line="260" w:lineRule="atLeast"/>
    </w:pPr>
    <w:rPr>
      <w:rFonts w:ascii="Franklin Gothic Demi" w:hAnsi="Franklin Gothic Demi"/>
      <w:i w:val="0"/>
      <w:caps/>
      <w:color w:val="F61D12" w:themeColor="accent2"/>
      <w:spacing w:val="44"/>
      <w:sz w:val="22"/>
    </w:rPr>
  </w:style>
  <w:style w:type="paragraph" w:customStyle="1" w:styleId="TableDataEntries">
    <w:name w:val="Table Data Entries"/>
    <w:basedOn w:val="TableTextEntries"/>
    <w:uiPriority w:val="11"/>
    <w:rsid w:val="003C4883"/>
    <w:pPr>
      <w:spacing w:before="40" w:after="40"/>
      <w:jc w:val="right"/>
    </w:pPr>
  </w:style>
  <w:style w:type="paragraph" w:customStyle="1" w:styleId="TableDataColumnHeading">
    <w:name w:val="Table Data Column Heading"/>
    <w:basedOn w:val="TableDataEntries"/>
    <w:uiPriority w:val="11"/>
    <w:rsid w:val="00E879B8"/>
    <w:pPr>
      <w:keepNext/>
      <w:spacing w:before="80" w:after="80"/>
    </w:pPr>
    <w:rPr>
      <w:rFonts w:ascii="Franklin Gothic Demi" w:hAnsi="Franklin Gothic Demi"/>
      <w:color w:val="FFFFFF"/>
    </w:rPr>
  </w:style>
  <w:style w:type="paragraph" w:customStyle="1" w:styleId="TableHeading1">
    <w:name w:val="Table Heading 1"/>
    <w:basedOn w:val="TableTextEntries"/>
    <w:next w:val="TableTextEntries"/>
    <w:uiPriority w:val="10"/>
    <w:rsid w:val="00FC141A"/>
    <w:pPr>
      <w:spacing w:before="140"/>
    </w:pPr>
    <w:rPr>
      <w:rFonts w:ascii="Franklin Gothic Demi" w:hAnsi="Franklin Gothic Demi"/>
      <w:color w:val="6F6652" w:themeColor="text2"/>
    </w:rPr>
  </w:style>
  <w:style w:type="paragraph" w:customStyle="1" w:styleId="TableHeading2">
    <w:name w:val="Table Heading 2"/>
    <w:basedOn w:val="TableHeading1"/>
    <w:next w:val="TableTextEntries"/>
    <w:uiPriority w:val="10"/>
    <w:rsid w:val="00591C8C"/>
    <w:pPr>
      <w:spacing w:before="80"/>
    </w:pPr>
    <w:rPr>
      <w:rFonts w:ascii="Franklin Gothic Medium" w:hAnsi="Franklin Gothic Medium"/>
    </w:rPr>
  </w:style>
  <w:style w:type="paragraph" w:customStyle="1" w:styleId="TableTextColumnHeading">
    <w:name w:val="Table Text Column Heading"/>
    <w:basedOn w:val="TableDataColumnHeading"/>
    <w:uiPriority w:val="13"/>
    <w:rsid w:val="00D950CE"/>
    <w:pPr>
      <w:jc w:val="left"/>
    </w:pPr>
  </w:style>
  <w:style w:type="paragraph" w:customStyle="1" w:styleId="TableUnit">
    <w:name w:val="Table Unit"/>
    <w:basedOn w:val="TableDataColumnHeading"/>
    <w:next w:val="TableDataEntries"/>
    <w:uiPriority w:val="11"/>
    <w:rsid w:val="00AF5770"/>
    <w:rPr>
      <w:rFonts w:ascii="Franklin Gothic Book" w:hAnsi="Franklin Gothic Book"/>
      <w:color w:val="auto"/>
      <w:szCs w:val="17"/>
    </w:rPr>
  </w:style>
  <w:style w:type="paragraph" w:styleId="TOC1">
    <w:name w:val="toc 1"/>
    <w:basedOn w:val="BodyText"/>
    <w:next w:val="TOC2"/>
    <w:uiPriority w:val="39"/>
    <w:rsid w:val="006B34C3"/>
    <w:pPr>
      <w:tabs>
        <w:tab w:val="left" w:pos="340"/>
        <w:tab w:val="right" w:pos="7938"/>
      </w:tabs>
      <w:spacing w:line="260" w:lineRule="atLeast"/>
      <w:ind w:right="567"/>
    </w:pPr>
    <w:rPr>
      <w:rFonts w:ascii="Franklin Gothic Demi" w:hAnsi="Franklin Gothic Demi"/>
      <w:szCs w:val="24"/>
    </w:rPr>
  </w:style>
  <w:style w:type="paragraph" w:styleId="TOC2">
    <w:name w:val="toc 2"/>
    <w:basedOn w:val="TOC1"/>
    <w:uiPriority w:val="39"/>
    <w:rsid w:val="00D908FD"/>
    <w:pPr>
      <w:tabs>
        <w:tab w:val="clear" w:pos="340"/>
      </w:tabs>
      <w:spacing w:before="60"/>
      <w:ind w:left="340"/>
    </w:pPr>
    <w:rPr>
      <w:rFonts w:ascii="Calisto MT" w:hAnsi="Calisto MT"/>
    </w:rPr>
  </w:style>
  <w:style w:type="paragraph" w:styleId="TOC3">
    <w:name w:val="toc 3"/>
    <w:basedOn w:val="TOC2"/>
    <w:next w:val="BodyText"/>
    <w:uiPriority w:val="39"/>
    <w:semiHidden/>
    <w:rsid w:val="00D908FD"/>
    <w:pPr>
      <w:ind w:left="680"/>
    </w:pPr>
  </w:style>
  <w:style w:type="paragraph" w:styleId="TOC6">
    <w:name w:val="toc 6"/>
    <w:basedOn w:val="BodyText"/>
    <w:next w:val="BodyText"/>
    <w:uiPriority w:val="39"/>
    <w:semiHidden/>
    <w:rsid w:val="0052602A"/>
    <w:pPr>
      <w:tabs>
        <w:tab w:val="left" w:pos="284"/>
        <w:tab w:val="right" w:pos="7655"/>
      </w:tabs>
      <w:ind w:left="284" w:right="567" w:hanging="284"/>
    </w:pPr>
  </w:style>
  <w:style w:type="paragraph" w:styleId="TOC7">
    <w:name w:val="toc 7"/>
    <w:basedOn w:val="TOC6"/>
    <w:next w:val="TOC1"/>
    <w:uiPriority w:val="39"/>
    <w:semiHidden/>
    <w:rsid w:val="009C0B20"/>
    <w:pPr>
      <w:tabs>
        <w:tab w:val="left" w:pos="1418"/>
      </w:tabs>
      <w:spacing w:before="80"/>
      <w:ind w:left="709" w:hanging="425"/>
    </w:pPr>
  </w:style>
  <w:style w:type="numbering" w:customStyle="1" w:styleId="HeadingNumbers">
    <w:name w:val="HeadingNumbers"/>
    <w:uiPriority w:val="99"/>
    <w:rsid w:val="00FD7C5A"/>
    <w:pPr>
      <w:numPr>
        <w:numId w:val="5"/>
      </w:numPr>
    </w:pPr>
  </w:style>
  <w:style w:type="paragraph" w:customStyle="1" w:styleId="TableListBullet">
    <w:name w:val="Table List Bullet"/>
    <w:basedOn w:val="TableTextEntries"/>
    <w:uiPriority w:val="14"/>
    <w:rsid w:val="00E35B83"/>
    <w:pPr>
      <w:numPr>
        <w:numId w:val="9"/>
      </w:numPr>
      <w:spacing w:line="210" w:lineRule="atLeast"/>
    </w:pPr>
    <w:rPr>
      <w:szCs w:val="19"/>
    </w:rPr>
  </w:style>
  <w:style w:type="paragraph" w:customStyle="1" w:styleId="TableListBullet2">
    <w:name w:val="Table List Bullet 2"/>
    <w:basedOn w:val="TableListBullet"/>
    <w:uiPriority w:val="14"/>
    <w:rsid w:val="00B402A3"/>
    <w:pPr>
      <w:numPr>
        <w:ilvl w:val="1"/>
      </w:numPr>
    </w:pPr>
  </w:style>
  <w:style w:type="paragraph" w:customStyle="1" w:styleId="TableListNumber">
    <w:name w:val="Table List Number"/>
    <w:basedOn w:val="TableTextEntries"/>
    <w:uiPriority w:val="14"/>
    <w:rsid w:val="00497862"/>
    <w:pPr>
      <w:numPr>
        <w:numId w:val="1"/>
      </w:numPr>
      <w:spacing w:before="40" w:after="40"/>
    </w:pPr>
    <w:rPr>
      <w:szCs w:val="19"/>
    </w:rPr>
  </w:style>
  <w:style w:type="paragraph" w:customStyle="1" w:styleId="TableListNumber2">
    <w:name w:val="Table List Number 2"/>
    <w:basedOn w:val="TableListNumber"/>
    <w:uiPriority w:val="14"/>
    <w:rsid w:val="00B402A3"/>
    <w:pPr>
      <w:numPr>
        <w:ilvl w:val="1"/>
      </w:numPr>
    </w:pPr>
  </w:style>
  <w:style w:type="numbering" w:customStyle="1" w:styleId="TableListBullets">
    <w:name w:val="TableListBullets"/>
    <w:uiPriority w:val="99"/>
    <w:rsid w:val="00E35B83"/>
    <w:pPr>
      <w:numPr>
        <w:numId w:val="2"/>
      </w:numPr>
    </w:pPr>
  </w:style>
  <w:style w:type="numbering" w:customStyle="1" w:styleId="TableListNumbers">
    <w:name w:val="TableListNumbers"/>
    <w:uiPriority w:val="99"/>
    <w:rsid w:val="00497862"/>
    <w:pPr>
      <w:numPr>
        <w:numId w:val="1"/>
      </w:numPr>
    </w:pPr>
  </w:style>
  <w:style w:type="character" w:styleId="PlaceholderText">
    <w:name w:val="Placeholder Text"/>
    <w:basedOn w:val="DefaultParagraphFont"/>
    <w:uiPriority w:val="99"/>
    <w:semiHidden/>
    <w:rsid w:val="00AF4E66"/>
    <w:rPr>
      <w:color w:val="808080"/>
    </w:rPr>
  </w:style>
  <w:style w:type="paragraph" w:customStyle="1" w:styleId="ChartListBullet">
    <w:name w:val="Chart List Bullet"/>
    <w:basedOn w:val="TableListBullet"/>
    <w:uiPriority w:val="24"/>
    <w:rsid w:val="00CC4851"/>
    <w:pPr>
      <w:numPr>
        <w:numId w:val="3"/>
      </w:numPr>
      <w:spacing w:before="50" w:after="0" w:line="200" w:lineRule="atLeast"/>
    </w:pPr>
    <w:rPr>
      <w:rFonts w:ascii="Franklin Gothic Medium" w:hAnsi="Franklin Gothic Medium"/>
      <w:szCs w:val="18"/>
    </w:rPr>
  </w:style>
  <w:style w:type="paragraph" w:customStyle="1" w:styleId="ChartListBullet2">
    <w:name w:val="Chart List Bullet 2"/>
    <w:basedOn w:val="ChartText"/>
    <w:uiPriority w:val="24"/>
    <w:rsid w:val="00CC4851"/>
    <w:pPr>
      <w:numPr>
        <w:ilvl w:val="1"/>
        <w:numId w:val="3"/>
      </w:numPr>
      <w:spacing w:before="30"/>
    </w:pPr>
  </w:style>
  <w:style w:type="paragraph" w:customStyle="1" w:styleId="ChartListNumber0">
    <w:name w:val="Chart List Number"/>
    <w:basedOn w:val="ChartText"/>
    <w:uiPriority w:val="24"/>
    <w:rsid w:val="004563C5"/>
    <w:pPr>
      <w:numPr>
        <w:numId w:val="4"/>
      </w:numPr>
      <w:spacing w:before="60"/>
    </w:pPr>
  </w:style>
  <w:style w:type="numbering" w:customStyle="1" w:styleId="ChartListNumber">
    <w:name w:val="ChartListNumber"/>
    <w:uiPriority w:val="99"/>
    <w:rsid w:val="004563C5"/>
    <w:pPr>
      <w:numPr>
        <w:numId w:val="4"/>
      </w:numPr>
    </w:pPr>
  </w:style>
  <w:style w:type="numbering" w:customStyle="1" w:styleId="RecommendationNumbers">
    <w:name w:val="RecommendationNumbers"/>
    <w:uiPriority w:val="99"/>
    <w:rsid w:val="002C0234"/>
    <w:pPr>
      <w:numPr>
        <w:numId w:val="6"/>
      </w:numPr>
    </w:pPr>
  </w:style>
  <w:style w:type="paragraph" w:customStyle="1" w:styleId="Abbreviation">
    <w:name w:val="Abbreviation"/>
    <w:basedOn w:val="BodyText"/>
    <w:uiPriority w:val="3"/>
    <w:rsid w:val="002321B8"/>
    <w:pPr>
      <w:ind w:left="1134" w:hanging="1134"/>
    </w:pPr>
  </w:style>
  <w:style w:type="paragraph" w:styleId="TableofFigures">
    <w:name w:val="table of figures"/>
    <w:basedOn w:val="BodyText"/>
    <w:next w:val="BodyText"/>
    <w:uiPriority w:val="99"/>
    <w:rsid w:val="00830E27"/>
    <w:pPr>
      <w:tabs>
        <w:tab w:val="left" w:pos="510"/>
        <w:tab w:val="right" w:pos="7938"/>
      </w:tabs>
      <w:spacing w:before="60" w:line="260" w:lineRule="atLeast"/>
      <w:ind w:left="510" w:right="567" w:hanging="510"/>
    </w:pPr>
  </w:style>
  <w:style w:type="table" w:styleId="TableGrid">
    <w:name w:val="Table Grid"/>
    <w:basedOn w:val="TableNormal"/>
    <w:uiPriority w:val="59"/>
    <w:rsid w:val="00C9369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9F1"/>
    <w:rPr>
      <w:color w:val="9B917E" w:themeColor="followedHyperlink"/>
      <w:u w:val="single"/>
    </w:rPr>
  </w:style>
  <w:style w:type="paragraph" w:styleId="NoSpacing">
    <w:name w:val="No Spacing"/>
    <w:basedOn w:val="Normal"/>
    <w:uiPriority w:val="1"/>
    <w:semiHidden/>
    <w:qFormat/>
    <w:rsid w:val="00160C29"/>
    <w:pPr>
      <w:spacing w:line="240" w:lineRule="auto"/>
    </w:pPr>
    <w:rPr>
      <w:rFonts w:asciiTheme="minorHAnsi" w:eastAsiaTheme="minorHAnsi" w:hAnsiTheme="minorHAnsi"/>
      <w:color w:val="000000" w:themeColor="text1"/>
      <w:szCs w:val="20"/>
      <w:lang w:val="en-US" w:eastAsia="ja-JP"/>
    </w:rPr>
  </w:style>
  <w:style w:type="paragraph" w:styleId="CommentSubject">
    <w:name w:val="annotation subject"/>
    <w:basedOn w:val="CommentText"/>
    <w:next w:val="CommentText"/>
    <w:link w:val="CommentSubjectChar"/>
    <w:uiPriority w:val="99"/>
    <w:semiHidden/>
    <w:rsid w:val="00EB66C5"/>
    <w:pPr>
      <w:spacing w:before="0" w:line="240" w:lineRule="auto"/>
    </w:pPr>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2812E4"/>
    <w:rPr>
      <w:rFonts w:ascii="Calibri" w:eastAsia="Times New Roman" w:hAnsi="Calibri" w:cstheme="minorBidi"/>
      <w:b/>
      <w:bCs/>
      <w:sz w:val="20"/>
      <w:szCs w:val="20"/>
    </w:rPr>
  </w:style>
  <w:style w:type="paragraph" w:styleId="Revision">
    <w:name w:val="Revision"/>
    <w:hidden/>
    <w:uiPriority w:val="99"/>
    <w:semiHidden/>
    <w:rsid w:val="00EB66C5"/>
    <w:pPr>
      <w:spacing w:before="0" w:line="240" w:lineRule="auto"/>
    </w:pPr>
  </w:style>
  <w:style w:type="paragraph" w:styleId="BalloonText">
    <w:name w:val="Balloon Text"/>
    <w:basedOn w:val="Normal"/>
    <w:link w:val="BalloonTextChar"/>
    <w:semiHidden/>
    <w:unhideWhenUsed/>
    <w:rsid w:val="00EB66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C5"/>
    <w:rPr>
      <w:rFonts w:ascii="Tahoma" w:hAnsi="Tahoma" w:cs="Tahoma"/>
      <w:sz w:val="16"/>
      <w:szCs w:val="16"/>
    </w:rPr>
  </w:style>
  <w:style w:type="paragraph" w:customStyle="1" w:styleId="HighlightMessage">
    <w:name w:val="Highlight Message"/>
    <w:basedOn w:val="BodyText"/>
    <w:next w:val="BodyText"/>
    <w:rsid w:val="00814B8B"/>
    <w:pPr>
      <w:keepNext/>
      <w:spacing w:before="360" w:line="260" w:lineRule="atLeast"/>
      <w:ind w:right="1701"/>
    </w:pPr>
    <w:rPr>
      <w:rFonts w:ascii="Franklin Gothic Heavy" w:hAnsi="Franklin Gothic Heavy"/>
      <w:color w:val="F61D12" w:themeColor="accent2"/>
      <w:szCs w:val="16"/>
      <w:lang w:eastAsia="en-US"/>
    </w:rPr>
  </w:style>
  <w:style w:type="paragraph" w:customStyle="1" w:styleId="Chart">
    <w:name w:val="Chart"/>
    <w:basedOn w:val="BodyText"/>
    <w:uiPriority w:val="99"/>
    <w:unhideWhenUsed/>
    <w:rsid w:val="00576C2E"/>
    <w:pPr>
      <w:spacing w:before="0" w:line="200" w:lineRule="atLeast"/>
    </w:pPr>
    <w:rPr>
      <w:lang w:eastAsia="en-US"/>
    </w:rPr>
  </w:style>
  <w:style w:type="paragraph" w:customStyle="1" w:styleId="KeyPoint">
    <w:name w:val="Key Point"/>
    <w:basedOn w:val="BodyText"/>
    <w:uiPriority w:val="1"/>
    <w:rsid w:val="00825668"/>
    <w:pPr>
      <w:numPr>
        <w:numId w:val="13"/>
      </w:numPr>
    </w:pPr>
    <w:rPr>
      <w:rFonts w:ascii="Franklin Gothic Demi" w:hAnsi="Franklin Gothic Demi"/>
      <w:color w:val="6F6652" w:themeColor="text2"/>
      <w:szCs w:val="20"/>
      <w:lang w:eastAsia="en-US"/>
    </w:rPr>
  </w:style>
  <w:style w:type="paragraph" w:customStyle="1" w:styleId="ChapterSummary">
    <w:name w:val="Chapter Summary"/>
    <w:basedOn w:val="KeyPoint"/>
    <w:uiPriority w:val="1"/>
    <w:rsid w:val="00FC141A"/>
    <w:pPr>
      <w:numPr>
        <w:numId w:val="0"/>
      </w:numPr>
    </w:pPr>
  </w:style>
  <w:style w:type="paragraph" w:customStyle="1" w:styleId="ChapterIntroduction">
    <w:name w:val="Chapter Introduction"/>
    <w:basedOn w:val="ChapterSummary"/>
    <w:next w:val="BodyText"/>
    <w:uiPriority w:val="1"/>
    <w:rsid w:val="00A510ED"/>
    <w:pPr>
      <w:pBdr>
        <w:top w:val="single" w:sz="4" w:space="4" w:color="9B917E" w:themeColor="accent4"/>
        <w:bottom w:val="single" w:sz="4" w:space="6" w:color="9B917E" w:themeColor="accent4"/>
      </w:pBdr>
      <w:spacing w:after="180"/>
    </w:pPr>
    <w:rPr>
      <w:rFonts w:asciiTheme="minorHAnsi" w:hAnsiTheme="minorHAnsi"/>
      <w:b/>
      <w:i/>
      <w:color w:val="006B7A" w:themeColor="accent1"/>
      <w:sz w:val="22"/>
    </w:rPr>
  </w:style>
  <w:style w:type="paragraph" w:customStyle="1" w:styleId="Confidential">
    <w:name w:val="Confidential"/>
    <w:basedOn w:val="Reporttype"/>
    <w:uiPriority w:val="31"/>
    <w:rsid w:val="005D3C6B"/>
    <w:pPr>
      <w:spacing w:after="0"/>
    </w:pPr>
    <w:rPr>
      <w:rFonts w:ascii="Franklin Gothic Book" w:hAnsi="Franklin Gothic Book"/>
      <w:color w:val="auto"/>
      <w:spacing w:val="10"/>
    </w:rPr>
  </w:style>
  <w:style w:type="numbering" w:customStyle="1" w:styleId="ListNumbers">
    <w:name w:val="ListNumbers"/>
    <w:next w:val="NoList"/>
    <w:uiPriority w:val="99"/>
    <w:rsid w:val="00497862"/>
    <w:pPr>
      <w:numPr>
        <w:numId w:val="12"/>
      </w:numPr>
    </w:pPr>
  </w:style>
  <w:style w:type="paragraph" w:customStyle="1" w:styleId="PartNumber">
    <w:name w:val="Part Number"/>
    <w:basedOn w:val="Reporttype"/>
    <w:uiPriority w:val="34"/>
    <w:semiHidden/>
    <w:rsid w:val="006E03FF"/>
  </w:style>
  <w:style w:type="paragraph" w:customStyle="1" w:styleId="PartTitle">
    <w:name w:val="Part Title"/>
    <w:basedOn w:val="Title"/>
    <w:link w:val="PartTitleChar"/>
    <w:uiPriority w:val="34"/>
    <w:semiHidden/>
    <w:rsid w:val="00145444"/>
    <w:pPr>
      <w:spacing w:line="440" w:lineRule="atLeast"/>
    </w:pPr>
    <w:rPr>
      <w:sz w:val="36"/>
    </w:rPr>
  </w:style>
  <w:style w:type="character" w:customStyle="1" w:styleId="PartTitleChar">
    <w:name w:val="Part Title Char"/>
    <w:basedOn w:val="TitleChar"/>
    <w:link w:val="PartTitle"/>
    <w:uiPriority w:val="34"/>
    <w:semiHidden/>
    <w:rsid w:val="007B3F04"/>
    <w:rPr>
      <w:rFonts w:asciiTheme="majorHAnsi" w:eastAsia="Times New Roman" w:hAnsiTheme="majorHAnsi"/>
      <w:spacing w:val="-2"/>
      <w:kern w:val="28"/>
      <w:sz w:val="36"/>
      <w:szCs w:val="48"/>
    </w:rPr>
  </w:style>
  <w:style w:type="character" w:customStyle="1" w:styleId="ListBulletChar">
    <w:name w:val="List Bullet Char"/>
    <w:link w:val="ListBullet"/>
    <w:uiPriority w:val="2"/>
    <w:locked/>
    <w:rsid w:val="00160C29"/>
    <w:rPr>
      <w:rFonts w:asciiTheme="minorHAnsi" w:eastAsia="Times New Roman" w:hAnsiTheme="minorHAnsi"/>
    </w:rPr>
  </w:style>
  <w:style w:type="paragraph" w:styleId="TOC4">
    <w:name w:val="toc 4"/>
    <w:basedOn w:val="TOC1"/>
    <w:next w:val="TOC1"/>
    <w:uiPriority w:val="39"/>
    <w:semiHidden/>
    <w:rsid w:val="00D908FD"/>
    <w:pPr>
      <w:spacing w:before="360"/>
      <w:ind w:right="0"/>
    </w:pPr>
    <w:rPr>
      <w:caps/>
      <w:color w:val="9B917E" w:themeColor="accent4"/>
      <w:spacing w:val="10"/>
      <w:sz w:val="22"/>
    </w:rPr>
  </w:style>
  <w:style w:type="paragraph" w:styleId="TOCHeading">
    <w:name w:val="TOC Heading"/>
    <w:basedOn w:val="Heading4"/>
    <w:next w:val="TableofFigures"/>
    <w:uiPriority w:val="39"/>
    <w:semiHidden/>
    <w:rsid w:val="00FC141A"/>
    <w:pPr>
      <w:keepLines/>
      <w:numPr>
        <w:ilvl w:val="0"/>
        <w:numId w:val="0"/>
      </w:numPr>
      <w:outlineLvl w:val="9"/>
    </w:pPr>
    <w:rPr>
      <w:rFonts w:ascii="Franklin Gothic Demi" w:eastAsiaTheme="majorEastAsia" w:hAnsi="Franklin Gothic Demi" w:cstheme="majorBidi"/>
      <w:b w:val="0"/>
      <w:bCs/>
      <w:i w:val="0"/>
      <w:caps/>
      <w:color w:val="006B7A" w:themeColor="accent1"/>
      <w:spacing w:val="10"/>
      <w:sz w:val="22"/>
      <w:szCs w:val="28"/>
    </w:rPr>
  </w:style>
  <w:style w:type="character" w:customStyle="1" w:styleId="ContinuedChar">
    <w:name w:val="Continued Char"/>
    <w:basedOn w:val="DefaultParagraphFont"/>
    <w:link w:val="Continued"/>
    <w:uiPriority w:val="17"/>
    <w:rsid w:val="007A2A3B"/>
    <w:rPr>
      <w:rFonts w:ascii="Franklin Gothic Book" w:eastAsia="Times New Roman" w:hAnsi="Franklin Gothic Book"/>
      <w:sz w:val="14"/>
      <w:szCs w:val="16"/>
      <w:lang w:eastAsia="en-US"/>
    </w:rPr>
  </w:style>
  <w:style w:type="paragraph" w:styleId="ListParagraph">
    <w:name w:val="List Paragraph"/>
    <w:basedOn w:val="Normal"/>
    <w:uiPriority w:val="34"/>
    <w:qFormat/>
    <w:rsid w:val="00160C29"/>
    <w:pPr>
      <w:ind w:left="720"/>
      <w:contextualSpacing/>
    </w:pPr>
  </w:style>
  <w:style w:type="character" w:customStyle="1" w:styleId="CaptionChar">
    <w:name w:val="Caption Char"/>
    <w:basedOn w:val="BodyTextChar"/>
    <w:link w:val="Caption"/>
    <w:uiPriority w:val="99"/>
    <w:rsid w:val="00160C29"/>
    <w:rPr>
      <w:rFonts w:ascii="Franklin Gothic Demi" w:eastAsia="Times New Roman" w:hAnsi="Franklin Gothic Demi"/>
      <w:szCs w:val="20"/>
    </w:rPr>
  </w:style>
  <w:style w:type="paragraph" w:customStyle="1" w:styleId="Summary2">
    <w:name w:val="Summary 2"/>
    <w:basedOn w:val="Heading2"/>
    <w:next w:val="BodyText"/>
    <w:rsid w:val="006544F3"/>
  </w:style>
  <w:style w:type="paragraph" w:customStyle="1" w:styleId="Summary3">
    <w:name w:val="Summary 3"/>
    <w:basedOn w:val="Heading3"/>
    <w:next w:val="BodyText"/>
    <w:rsid w:val="006544F3"/>
  </w:style>
  <w:style w:type="paragraph" w:customStyle="1" w:styleId="Summary4">
    <w:name w:val="Summary 4"/>
    <w:basedOn w:val="Heading4"/>
    <w:next w:val="BodyText"/>
    <w:rsid w:val="006544F3"/>
  </w:style>
  <w:style w:type="paragraph" w:customStyle="1" w:styleId="KeyPoint2">
    <w:name w:val="Key Point 2"/>
    <w:basedOn w:val="KeyPoint"/>
    <w:next w:val="BodyText"/>
    <w:uiPriority w:val="1"/>
    <w:rsid w:val="00825668"/>
    <w:pPr>
      <w:numPr>
        <w:ilvl w:val="1"/>
      </w:numPr>
      <w:spacing w:before="80"/>
    </w:pPr>
  </w:style>
  <w:style w:type="paragraph" w:customStyle="1" w:styleId="KeyPoint3">
    <w:name w:val="Key Point 3"/>
    <w:basedOn w:val="KeyPoint2"/>
    <w:next w:val="BodyText"/>
    <w:uiPriority w:val="1"/>
    <w:rsid w:val="00825668"/>
    <w:pPr>
      <w:numPr>
        <w:ilvl w:val="2"/>
      </w:numPr>
      <w:spacing w:before="60"/>
    </w:pPr>
  </w:style>
  <w:style w:type="numbering" w:customStyle="1" w:styleId="KeyPointBullets">
    <w:name w:val="KeyPointBullets"/>
    <w:basedOn w:val="ListBullets"/>
    <w:uiPriority w:val="99"/>
    <w:rsid w:val="00825668"/>
    <w:pPr>
      <w:numPr>
        <w:numId w:val="13"/>
      </w:numPr>
    </w:pPr>
  </w:style>
  <w:style w:type="numbering" w:customStyle="1" w:styleId="NoteListNumber">
    <w:name w:val="NoteListNumber"/>
    <w:uiPriority w:val="99"/>
    <w:rsid w:val="00E864C1"/>
    <w:pPr>
      <w:numPr>
        <w:numId w:val="14"/>
      </w:numPr>
    </w:pPr>
  </w:style>
  <w:style w:type="paragraph" w:styleId="NormalWeb">
    <w:name w:val="Normal (Web)"/>
    <w:basedOn w:val="Normal"/>
    <w:uiPriority w:val="99"/>
    <w:semiHidden/>
    <w:unhideWhenUsed/>
    <w:rsid w:val="0071617D"/>
    <w:pPr>
      <w:spacing w:before="100" w:beforeAutospacing="1" w:after="100" w:afterAutospacing="1" w:line="240" w:lineRule="auto"/>
    </w:pPr>
    <w:rPr>
      <w:rFonts w:ascii="Times New Roman" w:hAnsi="Times New Roman"/>
      <w:sz w:val="24"/>
      <w:szCs w:val="24"/>
    </w:rPr>
  </w:style>
  <w:style w:type="paragraph" w:customStyle="1" w:styleId="NoteNumber">
    <w:name w:val="Note Number"/>
    <w:basedOn w:val="Note"/>
    <w:uiPriority w:val="15"/>
    <w:rsid w:val="00E6555A"/>
    <w:pPr>
      <w:numPr>
        <w:ilvl w:val="1"/>
        <w:numId w:val="19"/>
      </w:numPr>
    </w:pPr>
    <w:rPr>
      <w:szCs w:val="15"/>
    </w:rPr>
  </w:style>
  <w:style w:type="table" w:customStyle="1" w:styleId="LayoutGrid">
    <w:name w:val="Layout Grid"/>
    <w:basedOn w:val="TableNormal"/>
    <w:uiPriority w:val="99"/>
    <w:rsid w:val="006D44B3"/>
    <w:pPr>
      <w:spacing w:before="0" w:line="240" w:lineRule="auto"/>
    </w:pPr>
    <w:tblPr>
      <w:tblCellMar>
        <w:left w:w="0" w:type="dxa"/>
        <w:right w:w="0" w:type="dxa"/>
      </w:tblCellMar>
    </w:tblPr>
  </w:style>
  <w:style w:type="paragraph" w:customStyle="1" w:styleId="Customtabletitle">
    <w:name w:val="Custom table title"/>
    <w:rsid w:val="005409B7"/>
    <w:pPr>
      <w:keepNext/>
      <w:spacing w:before="360" w:after="80" w:line="260" w:lineRule="atLeast"/>
    </w:pPr>
    <w:rPr>
      <w:rFonts w:ascii="Franklin Gothic Demi" w:eastAsia="Times New Roman" w:hAnsi="Franklin Gothic Demi"/>
      <w:szCs w:val="20"/>
    </w:rPr>
  </w:style>
  <w:style w:type="paragraph" w:customStyle="1" w:styleId="SenderAddress">
    <w:name w:val="Sender Address"/>
    <w:basedOn w:val="BodyText"/>
    <w:rsid w:val="00D4564F"/>
    <w:pPr>
      <w:tabs>
        <w:tab w:val="left" w:pos="1134"/>
      </w:tabs>
      <w:spacing w:before="0" w:after="120" w:line="260" w:lineRule="atLeast"/>
    </w:pPr>
    <w:rPr>
      <w:sz w:val="19"/>
    </w:rPr>
  </w:style>
  <w:style w:type="paragraph" w:customStyle="1" w:styleId="Disclaimer">
    <w:name w:val="Disclaimer"/>
    <w:basedOn w:val="Normal"/>
    <w:rsid w:val="00A838D1"/>
    <w:pPr>
      <w:spacing w:before="140"/>
    </w:pPr>
  </w:style>
  <w:style w:type="paragraph" w:customStyle="1" w:styleId="DisclaimerHeading">
    <w:name w:val="Disclaimer Heading"/>
    <w:basedOn w:val="BodyText"/>
    <w:rsid w:val="00A838D1"/>
    <w:pPr>
      <w:spacing w:before="1600"/>
    </w:pPr>
    <w:rPr>
      <w:rFonts w:ascii="Franklin Gothic Demi" w:hAnsi="Franklin Gothic Demi"/>
      <w:caps/>
      <w:spacing w:val="10"/>
      <w:szCs w:val="22"/>
    </w:rPr>
  </w:style>
  <w:style w:type="paragraph" w:customStyle="1" w:styleId="Heading1NotNumbered">
    <w:name w:val="Heading 1 NotNumbered"/>
    <w:basedOn w:val="Heading1"/>
    <w:next w:val="BodyText"/>
    <w:rsid w:val="00801EC2"/>
    <w:pPr>
      <w:numPr>
        <w:numId w:val="0"/>
      </w:numPr>
    </w:pPr>
    <w:rPr>
      <w:lang w:bidi="fa-IR"/>
    </w:rPr>
  </w:style>
  <w:style w:type="paragraph" w:customStyle="1" w:styleId="ShortReportCoverTagline">
    <w:name w:val="ShortReportCoverTagline"/>
    <w:basedOn w:val="BodyText"/>
    <w:rsid w:val="00BE67D2"/>
    <w:pPr>
      <w:spacing w:before="0" w:line="240" w:lineRule="auto"/>
    </w:pPr>
    <w:rPr>
      <w:rFonts w:ascii="Franklin Gothic Medium" w:hAnsi="Franklin Gothic Medium"/>
      <w:caps/>
      <w:color w:val="6F6652" w:themeColor="text2"/>
      <w:spacing w:val="10"/>
      <w:sz w:val="20"/>
    </w:rPr>
  </w:style>
  <w:style w:type="character" w:styleId="UnresolvedMention">
    <w:name w:val="Unresolved Mention"/>
    <w:basedOn w:val="DefaultParagraphFont"/>
    <w:uiPriority w:val="99"/>
    <w:semiHidden/>
    <w:unhideWhenUsed/>
    <w:rsid w:val="004E080F"/>
    <w:rPr>
      <w:color w:val="808080"/>
      <w:shd w:val="clear" w:color="auto" w:fill="E6E6E6"/>
    </w:rPr>
  </w:style>
  <w:style w:type="character" w:customStyle="1" w:styleId="SourceChar">
    <w:name w:val="Source Char"/>
    <w:basedOn w:val="DefaultParagraphFont"/>
    <w:link w:val="Source"/>
    <w:uiPriority w:val="16"/>
    <w:locked/>
    <w:rsid w:val="00AE53DD"/>
    <w:rPr>
      <w:rFonts w:ascii="Franklin Gothic Book" w:eastAsia="Times New Roman" w:hAnsi="Franklin Gothic Book"/>
      <w:sz w:val="1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1375">
      <w:bodyDiv w:val="1"/>
      <w:marLeft w:val="0"/>
      <w:marRight w:val="0"/>
      <w:marTop w:val="0"/>
      <w:marBottom w:val="0"/>
      <w:divBdr>
        <w:top w:val="none" w:sz="0" w:space="0" w:color="auto"/>
        <w:left w:val="none" w:sz="0" w:space="0" w:color="auto"/>
        <w:bottom w:val="none" w:sz="0" w:space="0" w:color="auto"/>
        <w:right w:val="none" w:sz="0" w:space="0" w:color="auto"/>
      </w:divBdr>
    </w:div>
    <w:div w:id="439296313">
      <w:bodyDiv w:val="1"/>
      <w:marLeft w:val="0"/>
      <w:marRight w:val="0"/>
      <w:marTop w:val="0"/>
      <w:marBottom w:val="0"/>
      <w:divBdr>
        <w:top w:val="none" w:sz="0" w:space="0" w:color="auto"/>
        <w:left w:val="none" w:sz="0" w:space="0" w:color="auto"/>
        <w:bottom w:val="none" w:sz="0" w:space="0" w:color="auto"/>
        <w:right w:val="none" w:sz="0" w:space="0" w:color="auto"/>
      </w:divBdr>
    </w:div>
    <w:div w:id="686180482">
      <w:bodyDiv w:val="1"/>
      <w:marLeft w:val="0"/>
      <w:marRight w:val="0"/>
      <w:marTop w:val="0"/>
      <w:marBottom w:val="0"/>
      <w:divBdr>
        <w:top w:val="none" w:sz="0" w:space="0" w:color="auto"/>
        <w:left w:val="none" w:sz="0" w:space="0" w:color="auto"/>
        <w:bottom w:val="none" w:sz="0" w:space="0" w:color="auto"/>
        <w:right w:val="none" w:sz="0" w:space="0" w:color="auto"/>
      </w:divBdr>
    </w:div>
    <w:div w:id="787163330">
      <w:bodyDiv w:val="1"/>
      <w:marLeft w:val="0"/>
      <w:marRight w:val="0"/>
      <w:marTop w:val="0"/>
      <w:marBottom w:val="0"/>
      <w:divBdr>
        <w:top w:val="none" w:sz="0" w:space="0" w:color="auto"/>
        <w:left w:val="none" w:sz="0" w:space="0" w:color="auto"/>
        <w:bottom w:val="none" w:sz="0" w:space="0" w:color="auto"/>
        <w:right w:val="none" w:sz="0" w:space="0" w:color="auto"/>
      </w:divBdr>
      <w:divsChild>
        <w:div w:id="1969777441">
          <w:marLeft w:val="1152"/>
          <w:marRight w:val="0"/>
          <w:marTop w:val="180"/>
          <w:marBottom w:val="0"/>
          <w:divBdr>
            <w:top w:val="none" w:sz="0" w:space="0" w:color="auto"/>
            <w:left w:val="none" w:sz="0" w:space="0" w:color="auto"/>
            <w:bottom w:val="none" w:sz="0" w:space="0" w:color="auto"/>
            <w:right w:val="none" w:sz="0" w:space="0" w:color="auto"/>
          </w:divBdr>
        </w:div>
        <w:div w:id="38745179">
          <w:marLeft w:val="1152"/>
          <w:marRight w:val="0"/>
          <w:marTop w:val="180"/>
          <w:marBottom w:val="0"/>
          <w:divBdr>
            <w:top w:val="none" w:sz="0" w:space="0" w:color="auto"/>
            <w:left w:val="none" w:sz="0" w:space="0" w:color="auto"/>
            <w:bottom w:val="none" w:sz="0" w:space="0" w:color="auto"/>
            <w:right w:val="none" w:sz="0" w:space="0" w:color="auto"/>
          </w:divBdr>
        </w:div>
        <w:div w:id="686296116">
          <w:marLeft w:val="1152"/>
          <w:marRight w:val="0"/>
          <w:marTop w:val="180"/>
          <w:marBottom w:val="0"/>
          <w:divBdr>
            <w:top w:val="none" w:sz="0" w:space="0" w:color="auto"/>
            <w:left w:val="none" w:sz="0" w:space="0" w:color="auto"/>
            <w:bottom w:val="none" w:sz="0" w:space="0" w:color="auto"/>
            <w:right w:val="none" w:sz="0" w:space="0" w:color="auto"/>
          </w:divBdr>
        </w:div>
        <w:div w:id="748231352">
          <w:marLeft w:val="1152"/>
          <w:marRight w:val="0"/>
          <w:marTop w:val="180"/>
          <w:marBottom w:val="0"/>
          <w:divBdr>
            <w:top w:val="none" w:sz="0" w:space="0" w:color="auto"/>
            <w:left w:val="none" w:sz="0" w:space="0" w:color="auto"/>
            <w:bottom w:val="none" w:sz="0" w:space="0" w:color="auto"/>
            <w:right w:val="none" w:sz="0" w:space="0" w:color="auto"/>
          </w:divBdr>
        </w:div>
        <w:div w:id="205263042">
          <w:marLeft w:val="1152"/>
          <w:marRight w:val="0"/>
          <w:marTop w:val="180"/>
          <w:marBottom w:val="0"/>
          <w:divBdr>
            <w:top w:val="none" w:sz="0" w:space="0" w:color="auto"/>
            <w:left w:val="none" w:sz="0" w:space="0" w:color="auto"/>
            <w:bottom w:val="none" w:sz="0" w:space="0" w:color="auto"/>
            <w:right w:val="none" w:sz="0" w:space="0" w:color="auto"/>
          </w:divBdr>
        </w:div>
        <w:div w:id="848177458">
          <w:marLeft w:val="562"/>
          <w:marRight w:val="0"/>
          <w:marTop w:val="360"/>
          <w:marBottom w:val="0"/>
          <w:divBdr>
            <w:top w:val="none" w:sz="0" w:space="0" w:color="auto"/>
            <w:left w:val="none" w:sz="0" w:space="0" w:color="auto"/>
            <w:bottom w:val="none" w:sz="0" w:space="0" w:color="auto"/>
            <w:right w:val="none" w:sz="0" w:space="0" w:color="auto"/>
          </w:divBdr>
        </w:div>
        <w:div w:id="1311668062">
          <w:marLeft w:val="1152"/>
          <w:marRight w:val="0"/>
          <w:marTop w:val="180"/>
          <w:marBottom w:val="0"/>
          <w:divBdr>
            <w:top w:val="none" w:sz="0" w:space="0" w:color="auto"/>
            <w:left w:val="none" w:sz="0" w:space="0" w:color="auto"/>
            <w:bottom w:val="none" w:sz="0" w:space="0" w:color="auto"/>
            <w:right w:val="none" w:sz="0" w:space="0" w:color="auto"/>
          </w:divBdr>
        </w:div>
        <w:div w:id="996761316">
          <w:marLeft w:val="562"/>
          <w:marRight w:val="0"/>
          <w:marTop w:val="360"/>
          <w:marBottom w:val="0"/>
          <w:divBdr>
            <w:top w:val="none" w:sz="0" w:space="0" w:color="auto"/>
            <w:left w:val="none" w:sz="0" w:space="0" w:color="auto"/>
            <w:bottom w:val="none" w:sz="0" w:space="0" w:color="auto"/>
            <w:right w:val="none" w:sz="0" w:space="0" w:color="auto"/>
          </w:divBdr>
        </w:div>
        <w:div w:id="1500000224">
          <w:marLeft w:val="1152"/>
          <w:marRight w:val="0"/>
          <w:marTop w:val="180"/>
          <w:marBottom w:val="0"/>
          <w:divBdr>
            <w:top w:val="none" w:sz="0" w:space="0" w:color="auto"/>
            <w:left w:val="none" w:sz="0" w:space="0" w:color="auto"/>
            <w:bottom w:val="none" w:sz="0" w:space="0" w:color="auto"/>
            <w:right w:val="none" w:sz="0" w:space="0" w:color="auto"/>
          </w:divBdr>
        </w:div>
      </w:divsChild>
    </w:div>
    <w:div w:id="862744552">
      <w:bodyDiv w:val="1"/>
      <w:marLeft w:val="0"/>
      <w:marRight w:val="0"/>
      <w:marTop w:val="0"/>
      <w:marBottom w:val="0"/>
      <w:divBdr>
        <w:top w:val="none" w:sz="0" w:space="0" w:color="auto"/>
        <w:left w:val="none" w:sz="0" w:space="0" w:color="auto"/>
        <w:bottom w:val="none" w:sz="0" w:space="0" w:color="auto"/>
        <w:right w:val="none" w:sz="0" w:space="0" w:color="auto"/>
      </w:divBdr>
    </w:div>
    <w:div w:id="915242328">
      <w:bodyDiv w:val="1"/>
      <w:marLeft w:val="0"/>
      <w:marRight w:val="0"/>
      <w:marTop w:val="0"/>
      <w:marBottom w:val="0"/>
      <w:divBdr>
        <w:top w:val="none" w:sz="0" w:space="0" w:color="auto"/>
        <w:left w:val="none" w:sz="0" w:space="0" w:color="auto"/>
        <w:bottom w:val="none" w:sz="0" w:space="0" w:color="auto"/>
        <w:right w:val="none" w:sz="0" w:space="0" w:color="auto"/>
      </w:divBdr>
    </w:div>
    <w:div w:id="965309212">
      <w:bodyDiv w:val="1"/>
      <w:marLeft w:val="0"/>
      <w:marRight w:val="0"/>
      <w:marTop w:val="0"/>
      <w:marBottom w:val="0"/>
      <w:divBdr>
        <w:top w:val="none" w:sz="0" w:space="0" w:color="auto"/>
        <w:left w:val="none" w:sz="0" w:space="0" w:color="auto"/>
        <w:bottom w:val="none" w:sz="0" w:space="0" w:color="auto"/>
        <w:right w:val="none" w:sz="0" w:space="0" w:color="auto"/>
      </w:divBdr>
    </w:div>
    <w:div w:id="1142111891">
      <w:bodyDiv w:val="1"/>
      <w:marLeft w:val="0"/>
      <w:marRight w:val="0"/>
      <w:marTop w:val="0"/>
      <w:marBottom w:val="0"/>
      <w:divBdr>
        <w:top w:val="none" w:sz="0" w:space="0" w:color="auto"/>
        <w:left w:val="none" w:sz="0" w:space="0" w:color="auto"/>
        <w:bottom w:val="none" w:sz="0" w:space="0" w:color="auto"/>
        <w:right w:val="none" w:sz="0" w:space="0" w:color="auto"/>
      </w:divBdr>
    </w:div>
    <w:div w:id="1176841400">
      <w:bodyDiv w:val="1"/>
      <w:marLeft w:val="0"/>
      <w:marRight w:val="0"/>
      <w:marTop w:val="0"/>
      <w:marBottom w:val="0"/>
      <w:divBdr>
        <w:top w:val="none" w:sz="0" w:space="0" w:color="auto"/>
        <w:left w:val="none" w:sz="0" w:space="0" w:color="auto"/>
        <w:bottom w:val="none" w:sz="0" w:space="0" w:color="auto"/>
        <w:right w:val="none" w:sz="0" w:space="0" w:color="auto"/>
      </w:divBdr>
    </w:div>
    <w:div w:id="1298536351">
      <w:bodyDiv w:val="1"/>
      <w:marLeft w:val="0"/>
      <w:marRight w:val="0"/>
      <w:marTop w:val="0"/>
      <w:marBottom w:val="0"/>
      <w:divBdr>
        <w:top w:val="none" w:sz="0" w:space="0" w:color="auto"/>
        <w:left w:val="none" w:sz="0" w:space="0" w:color="auto"/>
        <w:bottom w:val="none" w:sz="0" w:space="0" w:color="auto"/>
        <w:right w:val="none" w:sz="0" w:space="0" w:color="auto"/>
      </w:divBdr>
    </w:div>
    <w:div w:id="1396273834">
      <w:bodyDiv w:val="1"/>
      <w:marLeft w:val="0"/>
      <w:marRight w:val="0"/>
      <w:marTop w:val="0"/>
      <w:marBottom w:val="0"/>
      <w:divBdr>
        <w:top w:val="none" w:sz="0" w:space="0" w:color="auto"/>
        <w:left w:val="none" w:sz="0" w:space="0" w:color="auto"/>
        <w:bottom w:val="none" w:sz="0" w:space="0" w:color="auto"/>
        <w:right w:val="none" w:sz="0" w:space="0" w:color="auto"/>
      </w:divBdr>
    </w:div>
    <w:div w:id="1469124625">
      <w:bodyDiv w:val="1"/>
      <w:marLeft w:val="0"/>
      <w:marRight w:val="0"/>
      <w:marTop w:val="0"/>
      <w:marBottom w:val="0"/>
      <w:divBdr>
        <w:top w:val="none" w:sz="0" w:space="0" w:color="auto"/>
        <w:left w:val="none" w:sz="0" w:space="0" w:color="auto"/>
        <w:bottom w:val="none" w:sz="0" w:space="0" w:color="auto"/>
        <w:right w:val="none" w:sz="0" w:space="0" w:color="auto"/>
      </w:divBdr>
      <w:divsChild>
        <w:div w:id="2109542910">
          <w:marLeft w:val="1080"/>
          <w:marRight w:val="0"/>
          <w:marTop w:val="100"/>
          <w:marBottom w:val="0"/>
          <w:divBdr>
            <w:top w:val="none" w:sz="0" w:space="0" w:color="auto"/>
            <w:left w:val="none" w:sz="0" w:space="0" w:color="auto"/>
            <w:bottom w:val="none" w:sz="0" w:space="0" w:color="auto"/>
            <w:right w:val="none" w:sz="0" w:space="0" w:color="auto"/>
          </w:divBdr>
        </w:div>
      </w:divsChild>
    </w:div>
    <w:div w:id="1491603124">
      <w:bodyDiv w:val="1"/>
      <w:marLeft w:val="0"/>
      <w:marRight w:val="0"/>
      <w:marTop w:val="0"/>
      <w:marBottom w:val="0"/>
      <w:divBdr>
        <w:top w:val="none" w:sz="0" w:space="0" w:color="auto"/>
        <w:left w:val="none" w:sz="0" w:space="0" w:color="auto"/>
        <w:bottom w:val="none" w:sz="0" w:space="0" w:color="auto"/>
        <w:right w:val="none" w:sz="0" w:space="0" w:color="auto"/>
      </w:divBdr>
      <w:divsChild>
        <w:div w:id="1265306797">
          <w:marLeft w:val="1080"/>
          <w:marRight w:val="0"/>
          <w:marTop w:val="100"/>
          <w:marBottom w:val="0"/>
          <w:divBdr>
            <w:top w:val="none" w:sz="0" w:space="0" w:color="auto"/>
            <w:left w:val="none" w:sz="0" w:space="0" w:color="auto"/>
            <w:bottom w:val="none" w:sz="0" w:space="0" w:color="auto"/>
            <w:right w:val="none" w:sz="0" w:space="0" w:color="auto"/>
          </w:divBdr>
        </w:div>
      </w:divsChild>
    </w:div>
    <w:div w:id="1669743858">
      <w:bodyDiv w:val="1"/>
      <w:marLeft w:val="0"/>
      <w:marRight w:val="0"/>
      <w:marTop w:val="0"/>
      <w:marBottom w:val="0"/>
      <w:divBdr>
        <w:top w:val="none" w:sz="0" w:space="0" w:color="auto"/>
        <w:left w:val="none" w:sz="0" w:space="0" w:color="auto"/>
        <w:bottom w:val="none" w:sz="0" w:space="0" w:color="auto"/>
        <w:right w:val="none" w:sz="0" w:space="0" w:color="auto"/>
      </w:divBdr>
    </w:div>
    <w:div w:id="1830293346">
      <w:bodyDiv w:val="1"/>
      <w:marLeft w:val="0"/>
      <w:marRight w:val="0"/>
      <w:marTop w:val="0"/>
      <w:marBottom w:val="0"/>
      <w:divBdr>
        <w:top w:val="none" w:sz="0" w:space="0" w:color="auto"/>
        <w:left w:val="none" w:sz="0" w:space="0" w:color="auto"/>
        <w:bottom w:val="none" w:sz="0" w:space="0" w:color="auto"/>
        <w:right w:val="none" w:sz="0" w:space="0" w:color="auto"/>
      </w:divBdr>
    </w:div>
    <w:div w:id="1948271425">
      <w:bodyDiv w:val="1"/>
      <w:marLeft w:val="0"/>
      <w:marRight w:val="0"/>
      <w:marTop w:val="0"/>
      <w:marBottom w:val="0"/>
      <w:divBdr>
        <w:top w:val="none" w:sz="0" w:space="0" w:color="auto"/>
        <w:left w:val="none" w:sz="0" w:space="0" w:color="auto"/>
        <w:bottom w:val="none" w:sz="0" w:space="0" w:color="auto"/>
        <w:right w:val="none" w:sz="0" w:space="0" w:color="auto"/>
      </w:divBdr>
    </w:div>
    <w:div w:id="1948274588">
      <w:bodyDiv w:val="1"/>
      <w:marLeft w:val="0"/>
      <w:marRight w:val="0"/>
      <w:marTop w:val="0"/>
      <w:marBottom w:val="0"/>
      <w:divBdr>
        <w:top w:val="none" w:sz="0" w:space="0" w:color="auto"/>
        <w:left w:val="none" w:sz="0" w:space="0" w:color="auto"/>
        <w:bottom w:val="none" w:sz="0" w:space="0" w:color="auto"/>
        <w:right w:val="none" w:sz="0" w:space="0" w:color="auto"/>
      </w:divBdr>
    </w:div>
    <w:div w:id="2095055310">
      <w:bodyDiv w:val="1"/>
      <w:marLeft w:val="0"/>
      <w:marRight w:val="0"/>
      <w:marTop w:val="0"/>
      <w:marBottom w:val="0"/>
      <w:divBdr>
        <w:top w:val="none" w:sz="0" w:space="0" w:color="auto"/>
        <w:left w:val="none" w:sz="0" w:space="0" w:color="auto"/>
        <w:bottom w:val="none" w:sz="0" w:space="0" w:color="auto"/>
        <w:right w:val="none" w:sz="0" w:space="0" w:color="auto"/>
      </w:divBdr>
      <w:divsChild>
        <w:div w:id="17594730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7.emf"/><Relationship Id="rId39" Type="http://schemas.openxmlformats.org/officeDocument/2006/relationships/footer" Target="footer6.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0.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esyd@TheCIE.com.au"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9.png"/><Relationship Id="rId36"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heCIE.com.au" TargetMode="External"/><Relationship Id="rId17" Type="http://schemas.openxmlformats.org/officeDocument/2006/relationships/header" Target="header4.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climateworks.com.au/project/national-projects/low-carbon-growth-plan-australia" TargetMode="External"/><Relationship Id="rId1" Type="http://schemas.openxmlformats.org/officeDocument/2006/relationships/hyperlink" Target="https://www.climatechange.vic.gov.au/reducing-emissions/interim-targ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2016%20Templates\Report%20CIE%202016.dotm" TargetMode="External"/></Relationships>
</file>

<file path=word/theme/theme1.xml><?xml version="1.0" encoding="utf-8"?>
<a:theme xmlns:a="http://schemas.openxmlformats.org/drawingml/2006/main" name="TheCIE">
  <a:themeElements>
    <a:clrScheme name="TheCIE">
      <a:dk1>
        <a:sysClr val="windowText" lastClr="000000"/>
      </a:dk1>
      <a:lt1>
        <a:sysClr val="window" lastClr="FFFFFF"/>
      </a:lt1>
      <a:dk2>
        <a:srgbClr val="6F6652"/>
      </a:dk2>
      <a:lt2>
        <a:srgbClr val="E9E8E5"/>
      </a:lt2>
      <a:accent1>
        <a:srgbClr val="006B7A"/>
      </a:accent1>
      <a:accent2>
        <a:srgbClr val="F61D12"/>
      </a:accent2>
      <a:accent3>
        <a:srgbClr val="C6BFAB"/>
      </a:accent3>
      <a:accent4>
        <a:srgbClr val="9B917E"/>
      </a:accent4>
      <a:accent5>
        <a:srgbClr val="6F6652"/>
      </a:accent5>
      <a:accent6>
        <a:srgbClr val="9AC2C4"/>
      </a:accent6>
      <a:hlink>
        <a:srgbClr val="6F6652"/>
      </a:hlink>
      <a:folHlink>
        <a:srgbClr val="9B917E"/>
      </a:folHlink>
    </a:clrScheme>
    <a:fontScheme name="TheCI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9E413C8-1234-43BD-89C5-9CD68131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CIE 2016.dotm</Template>
  <TotalTime>36</TotalTime>
  <Pages>38</Pages>
  <Words>10527</Words>
  <Characters>60007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Report re Impact of timing of emissions abatement</vt:lpstr>
    </vt:vector>
  </TitlesOfParts>
  <Company>The CIE</Company>
  <LinksUpToDate>false</LinksUpToDate>
  <CharactersWithSpaces>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re Impact of timing of emissions abatement</dc:title>
  <dc:subject/>
  <dc:creator>Nick Ward</dc:creator>
  <cp:keywords/>
  <dc:description/>
  <cp:lastModifiedBy>David Pearce</cp:lastModifiedBy>
  <cp:revision>6</cp:revision>
  <cp:lastPrinted>2019-05-24T04:01:00Z</cp:lastPrinted>
  <dcterms:created xsi:type="dcterms:W3CDTF">2019-05-26T05:19:00Z</dcterms:created>
  <dcterms:modified xsi:type="dcterms:W3CDTF">2019-05-26T05:54:00Z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ype">
    <vt:lpwstr>Draft report</vt:lpwstr>
  </property>
  <property fmtid="{D5CDD505-2E9C-101B-9397-08002B2CF9AE}" pid="3" name="ReportTitle">
    <vt:lpwstr>Impact of timing of emissions abatement</vt:lpwstr>
  </property>
  <property fmtid="{D5CDD505-2E9C-101B-9397-08002B2CF9AE}" pid="4" name="ReportSubtitle">
    <vt:lpwstr>Report Subtitle</vt:lpwstr>
  </property>
  <property fmtid="{D5CDD505-2E9C-101B-9397-08002B2CF9AE}" pid="5" name="ReportDate">
    <vt:lpwstr>10 April 2018</vt:lpwstr>
  </property>
  <property fmtid="{D5CDD505-2E9C-101B-9397-08002B2CF9AE}" pid="6" name="PreparedFor">
    <vt:lpwstr>Client Name</vt:lpwstr>
  </property>
  <property fmtid="{D5CDD505-2E9C-101B-9397-08002B2CF9AE}" pid="7" name="ShortReport">
    <vt:lpwstr>No</vt:lpwstr>
  </property>
</Properties>
</file>