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4DA" w:rsidRPr="00AD05F9" w:rsidRDefault="007A54DA" w:rsidP="007A54DA">
      <w:pPr>
        <w:spacing w:after="0"/>
        <w:rPr>
          <w:b/>
          <w:sz w:val="40"/>
          <w:szCs w:val="24"/>
        </w:rPr>
      </w:pPr>
      <w:r w:rsidRPr="00AD05F9">
        <w:rPr>
          <w:b/>
          <w:sz w:val="40"/>
          <w:szCs w:val="24"/>
        </w:rPr>
        <w:t>Fact Sheet</w:t>
      </w:r>
    </w:p>
    <w:p w:rsidR="00B1186B" w:rsidRPr="007A54DA" w:rsidRDefault="007A54DA" w:rsidP="007A54DA">
      <w:pPr>
        <w:spacing w:after="0"/>
        <w:rPr>
          <w:b/>
          <w:sz w:val="40"/>
          <w:szCs w:val="24"/>
        </w:rPr>
      </w:pPr>
      <w:r w:rsidRPr="007A54DA">
        <w:rPr>
          <w:b/>
          <w:sz w:val="40"/>
          <w:szCs w:val="24"/>
        </w:rPr>
        <w:t>Adaptation Action Plans</w:t>
      </w:r>
    </w:p>
    <w:p w:rsidR="007A54DA" w:rsidRPr="007A54DA" w:rsidRDefault="007A54DA" w:rsidP="007A54DA">
      <w:pPr>
        <w:spacing w:after="0"/>
        <w:rPr>
          <w:b/>
          <w:sz w:val="24"/>
          <w:szCs w:val="24"/>
        </w:rPr>
      </w:pPr>
    </w:p>
    <w:p w:rsidR="007A54DA" w:rsidRPr="007A54DA" w:rsidRDefault="007A54DA" w:rsidP="007A54DA">
      <w:pPr>
        <w:pStyle w:val="Default"/>
        <w:spacing w:after="120" w:line="276" w:lineRule="auto"/>
        <w:rPr>
          <w:rFonts w:asciiTheme="minorHAnsi" w:hAnsiTheme="minorHAnsi"/>
        </w:rPr>
      </w:pPr>
      <w:r w:rsidRPr="007A54DA">
        <w:rPr>
          <w:rFonts w:asciiTheme="minorHAnsi" w:hAnsiTheme="minorHAnsi"/>
        </w:rPr>
        <w:t>Adaptation Action Plans will build the state’s resilience and help Victorians plan for the inevit</w:t>
      </w:r>
      <w:r>
        <w:rPr>
          <w:rFonts w:asciiTheme="minorHAnsi" w:hAnsiTheme="minorHAnsi"/>
        </w:rPr>
        <w:t>able impacts of climate change.</w:t>
      </w:r>
    </w:p>
    <w:p w:rsidR="007A54DA" w:rsidRPr="007A54DA" w:rsidRDefault="007A54DA" w:rsidP="007A54DA">
      <w:pPr>
        <w:pStyle w:val="Default"/>
        <w:spacing w:after="120" w:line="276" w:lineRule="auto"/>
        <w:rPr>
          <w:rFonts w:asciiTheme="minorHAnsi" w:hAnsiTheme="minorHAnsi"/>
        </w:rPr>
      </w:pPr>
      <w:r w:rsidRPr="007A54DA">
        <w:rPr>
          <w:rFonts w:asciiTheme="minorHAnsi" w:hAnsiTheme="minorHAnsi"/>
        </w:rPr>
        <w:t xml:space="preserve">On 23 February 2017, the Climate Change Bill 2016 was passed by the Victorian Parliament to create a </w:t>
      </w:r>
      <w:r>
        <w:rPr>
          <w:rFonts w:asciiTheme="minorHAnsi" w:hAnsiTheme="minorHAnsi"/>
        </w:rPr>
        <w:t>new Climate Change Act.</w:t>
      </w:r>
    </w:p>
    <w:p w:rsidR="007A54DA" w:rsidRPr="007A54DA" w:rsidRDefault="007A54DA" w:rsidP="007A54DA">
      <w:pPr>
        <w:pStyle w:val="Default"/>
        <w:spacing w:after="120" w:line="276" w:lineRule="auto"/>
        <w:rPr>
          <w:rFonts w:asciiTheme="minorHAnsi" w:hAnsiTheme="minorHAnsi"/>
          <w:b/>
          <w:bCs/>
          <w:i/>
          <w:sz w:val="32"/>
        </w:rPr>
      </w:pPr>
      <w:r w:rsidRPr="007A54DA">
        <w:rPr>
          <w:rFonts w:asciiTheme="minorHAnsi" w:hAnsiTheme="minorHAnsi"/>
          <w:b/>
          <w:bCs/>
          <w:i/>
          <w:sz w:val="32"/>
        </w:rPr>
        <w:t>Over</w:t>
      </w:r>
      <w:r>
        <w:rPr>
          <w:rFonts w:asciiTheme="minorHAnsi" w:hAnsiTheme="minorHAnsi"/>
          <w:b/>
          <w:bCs/>
          <w:i/>
          <w:sz w:val="32"/>
        </w:rPr>
        <w:t>view of Adaptation Action Plans</w:t>
      </w:r>
    </w:p>
    <w:p w:rsidR="007A54DA" w:rsidRPr="007A54DA" w:rsidRDefault="007A54DA" w:rsidP="007A54DA">
      <w:pPr>
        <w:pStyle w:val="Default"/>
        <w:spacing w:after="120" w:line="276" w:lineRule="auto"/>
        <w:rPr>
          <w:rFonts w:asciiTheme="minorHAnsi" w:hAnsiTheme="minorHAnsi"/>
        </w:rPr>
      </w:pPr>
      <w:r w:rsidRPr="007A54DA">
        <w:rPr>
          <w:rFonts w:asciiTheme="minorHAnsi" w:hAnsiTheme="minorHAnsi"/>
        </w:rPr>
        <w:t xml:space="preserve">The </w:t>
      </w:r>
      <w:r w:rsidRPr="007A54DA">
        <w:rPr>
          <w:rFonts w:asciiTheme="minorHAnsi" w:hAnsiTheme="minorHAnsi"/>
          <w:i/>
        </w:rPr>
        <w:t>Climate Change Act 2017</w:t>
      </w:r>
      <w:r w:rsidRPr="007A54DA">
        <w:rPr>
          <w:rFonts w:asciiTheme="minorHAnsi" w:hAnsiTheme="minorHAnsi"/>
        </w:rPr>
        <w:t xml:space="preserve"> introduces system-based planning for adaptation, focusing on key systems that are either vulnerable to the inevitable impacts of climate change, or are essential to e</w:t>
      </w:r>
      <w:r>
        <w:rPr>
          <w:rFonts w:asciiTheme="minorHAnsi" w:hAnsiTheme="minorHAnsi"/>
        </w:rPr>
        <w:t>nsure Victoria is prepared.</w:t>
      </w:r>
    </w:p>
    <w:p w:rsidR="007A54DA" w:rsidRPr="007A54DA" w:rsidRDefault="007A54DA" w:rsidP="007A54DA">
      <w:pPr>
        <w:pStyle w:val="Default"/>
        <w:spacing w:after="120" w:line="276" w:lineRule="auto"/>
        <w:rPr>
          <w:rFonts w:asciiTheme="minorHAnsi" w:hAnsiTheme="minorHAnsi"/>
        </w:rPr>
      </w:pPr>
      <w:r w:rsidRPr="007A54DA">
        <w:rPr>
          <w:rFonts w:asciiTheme="minorHAnsi" w:hAnsiTheme="minorHAnsi"/>
        </w:rPr>
        <w:t xml:space="preserve">Systems-based planning is already used in </w:t>
      </w:r>
      <w:proofErr w:type="gramStart"/>
      <w:r w:rsidRPr="007A54DA">
        <w:rPr>
          <w:rFonts w:asciiTheme="minorHAnsi" w:hAnsiTheme="minorHAnsi"/>
        </w:rPr>
        <w:t>a number of</w:t>
      </w:r>
      <w:proofErr w:type="gramEnd"/>
      <w:r w:rsidRPr="007A54DA">
        <w:rPr>
          <w:rFonts w:asciiTheme="minorHAnsi" w:hAnsiTheme="minorHAnsi"/>
        </w:rPr>
        <w:t xml:space="preserve"> jurisdictions, including California, Scotland, Wales and New York State. It enables a targeted response to climate change, focused on the unique characteristics and needs of</w:t>
      </w:r>
      <w:r>
        <w:rPr>
          <w:rFonts w:asciiTheme="minorHAnsi" w:hAnsiTheme="minorHAnsi"/>
        </w:rPr>
        <w:t xml:space="preserve"> a given system.</w:t>
      </w:r>
    </w:p>
    <w:p w:rsidR="007A54DA" w:rsidRPr="007A54DA" w:rsidRDefault="007A54DA" w:rsidP="007A54DA">
      <w:pPr>
        <w:pStyle w:val="Default"/>
        <w:spacing w:line="276" w:lineRule="auto"/>
        <w:rPr>
          <w:rFonts w:asciiTheme="minorHAnsi" w:hAnsiTheme="minorHAnsi"/>
        </w:rPr>
      </w:pPr>
      <w:r w:rsidRPr="007A54DA">
        <w:rPr>
          <w:rFonts w:asciiTheme="minorHAnsi" w:hAnsiTheme="minorHAnsi"/>
        </w:rPr>
        <w:t xml:space="preserve">Under the Act, Adaptation Action Plans (AAPs) will be required to be developed every five years </w:t>
      </w:r>
      <w:r>
        <w:rPr>
          <w:rFonts w:asciiTheme="minorHAnsi" w:hAnsiTheme="minorHAnsi"/>
        </w:rPr>
        <w:t>covering the following systems:</w:t>
      </w:r>
    </w:p>
    <w:p w:rsidR="007A54DA" w:rsidRPr="007A54DA" w:rsidRDefault="007A54DA" w:rsidP="007A54DA">
      <w:pPr>
        <w:pStyle w:val="Default"/>
        <w:numPr>
          <w:ilvl w:val="0"/>
          <w:numId w:val="1"/>
        </w:numPr>
        <w:spacing w:line="276" w:lineRule="auto"/>
        <w:rPr>
          <w:rFonts w:asciiTheme="minorHAnsi" w:hAnsiTheme="minorHAnsi"/>
        </w:rPr>
      </w:pPr>
      <w:r>
        <w:rPr>
          <w:rFonts w:asciiTheme="minorHAnsi" w:hAnsiTheme="minorHAnsi"/>
        </w:rPr>
        <w:t>built environment;</w:t>
      </w:r>
    </w:p>
    <w:p w:rsidR="007A54DA" w:rsidRPr="007A54DA" w:rsidRDefault="007A54DA" w:rsidP="007A54DA">
      <w:pPr>
        <w:pStyle w:val="Default"/>
        <w:numPr>
          <w:ilvl w:val="0"/>
          <w:numId w:val="1"/>
        </w:numPr>
        <w:spacing w:line="276" w:lineRule="auto"/>
        <w:rPr>
          <w:rFonts w:asciiTheme="minorHAnsi" w:hAnsiTheme="minorHAnsi"/>
        </w:rPr>
      </w:pPr>
      <w:r>
        <w:rPr>
          <w:rFonts w:asciiTheme="minorHAnsi" w:hAnsiTheme="minorHAnsi"/>
        </w:rPr>
        <w:t>education and training;</w:t>
      </w:r>
    </w:p>
    <w:p w:rsidR="007A54DA" w:rsidRPr="007A54DA" w:rsidRDefault="007A54DA" w:rsidP="007A54DA">
      <w:pPr>
        <w:pStyle w:val="Default"/>
        <w:numPr>
          <w:ilvl w:val="0"/>
          <w:numId w:val="1"/>
        </w:numPr>
        <w:spacing w:line="276" w:lineRule="auto"/>
        <w:rPr>
          <w:rFonts w:asciiTheme="minorHAnsi" w:hAnsiTheme="minorHAnsi"/>
        </w:rPr>
      </w:pPr>
      <w:r>
        <w:rPr>
          <w:rFonts w:asciiTheme="minorHAnsi" w:hAnsiTheme="minorHAnsi"/>
        </w:rPr>
        <w:t>health and human services;</w:t>
      </w:r>
    </w:p>
    <w:p w:rsidR="007A54DA" w:rsidRPr="007A54DA" w:rsidRDefault="007A54DA" w:rsidP="007A54DA">
      <w:pPr>
        <w:pStyle w:val="Default"/>
        <w:numPr>
          <w:ilvl w:val="0"/>
          <w:numId w:val="1"/>
        </w:numPr>
        <w:spacing w:line="276" w:lineRule="auto"/>
        <w:rPr>
          <w:rFonts w:asciiTheme="minorHAnsi" w:hAnsiTheme="minorHAnsi"/>
        </w:rPr>
      </w:pPr>
      <w:r>
        <w:rPr>
          <w:rFonts w:asciiTheme="minorHAnsi" w:hAnsiTheme="minorHAnsi"/>
        </w:rPr>
        <w:t>natural environment;</w:t>
      </w:r>
      <w:bookmarkStart w:id="0" w:name="_GoBack"/>
      <w:bookmarkEnd w:id="0"/>
    </w:p>
    <w:p w:rsidR="007A54DA" w:rsidRPr="007A54DA" w:rsidRDefault="007A54DA" w:rsidP="007A54DA">
      <w:pPr>
        <w:pStyle w:val="Default"/>
        <w:numPr>
          <w:ilvl w:val="0"/>
          <w:numId w:val="1"/>
        </w:numPr>
        <w:spacing w:line="276" w:lineRule="auto"/>
        <w:rPr>
          <w:rFonts w:asciiTheme="minorHAnsi" w:hAnsiTheme="minorHAnsi"/>
        </w:rPr>
      </w:pPr>
      <w:r w:rsidRPr="007A54DA">
        <w:rPr>
          <w:rFonts w:asciiTheme="minorHAnsi" w:hAnsiTheme="minorHAnsi"/>
        </w:rPr>
        <w:t>prim</w:t>
      </w:r>
      <w:r>
        <w:rPr>
          <w:rFonts w:asciiTheme="minorHAnsi" w:hAnsiTheme="minorHAnsi"/>
        </w:rPr>
        <w:t>ary production;</w:t>
      </w:r>
    </w:p>
    <w:p w:rsidR="007A54DA" w:rsidRPr="007A54DA" w:rsidRDefault="007A54DA" w:rsidP="007A54DA">
      <w:pPr>
        <w:pStyle w:val="Default"/>
        <w:numPr>
          <w:ilvl w:val="0"/>
          <w:numId w:val="1"/>
        </w:numPr>
        <w:spacing w:line="276" w:lineRule="auto"/>
        <w:rPr>
          <w:rFonts w:asciiTheme="minorHAnsi" w:hAnsiTheme="minorHAnsi"/>
        </w:rPr>
      </w:pPr>
      <w:r>
        <w:rPr>
          <w:rFonts w:asciiTheme="minorHAnsi" w:hAnsiTheme="minorHAnsi"/>
        </w:rPr>
        <w:t>transport; and</w:t>
      </w:r>
    </w:p>
    <w:p w:rsidR="007A54DA" w:rsidRPr="007A54DA" w:rsidRDefault="007A54DA" w:rsidP="007A54DA">
      <w:pPr>
        <w:pStyle w:val="Default"/>
        <w:numPr>
          <w:ilvl w:val="0"/>
          <w:numId w:val="1"/>
        </w:numPr>
        <w:spacing w:after="120" w:line="276" w:lineRule="auto"/>
        <w:rPr>
          <w:rFonts w:asciiTheme="minorHAnsi" w:hAnsiTheme="minorHAnsi"/>
        </w:rPr>
      </w:pPr>
      <w:r>
        <w:rPr>
          <w:rFonts w:asciiTheme="minorHAnsi" w:hAnsiTheme="minorHAnsi"/>
        </w:rPr>
        <w:t>the water cycle.</w:t>
      </w:r>
    </w:p>
    <w:p w:rsidR="007A54DA" w:rsidRPr="007A54DA" w:rsidRDefault="007A54DA" w:rsidP="007A54DA">
      <w:pPr>
        <w:pStyle w:val="Default"/>
        <w:spacing w:after="120" w:line="276" w:lineRule="auto"/>
        <w:rPr>
          <w:rFonts w:asciiTheme="minorHAnsi" w:hAnsiTheme="minorHAnsi"/>
          <w:b/>
          <w:bCs/>
          <w:i/>
          <w:sz w:val="32"/>
        </w:rPr>
      </w:pPr>
      <w:r w:rsidRPr="007A54DA">
        <w:rPr>
          <w:rFonts w:asciiTheme="minorHAnsi" w:hAnsiTheme="minorHAnsi"/>
          <w:b/>
          <w:bCs/>
          <w:i/>
          <w:sz w:val="32"/>
        </w:rPr>
        <w:t xml:space="preserve">Who is </w:t>
      </w:r>
      <w:r>
        <w:rPr>
          <w:rFonts w:asciiTheme="minorHAnsi" w:hAnsiTheme="minorHAnsi"/>
          <w:b/>
          <w:bCs/>
          <w:i/>
          <w:sz w:val="32"/>
        </w:rPr>
        <w:t>responsible for preparing AAPs?</w:t>
      </w:r>
    </w:p>
    <w:p w:rsidR="007A54DA" w:rsidRPr="007A54DA" w:rsidRDefault="007A54DA" w:rsidP="007A54DA">
      <w:pPr>
        <w:pStyle w:val="Default"/>
        <w:spacing w:after="120" w:line="276" w:lineRule="auto"/>
        <w:rPr>
          <w:rFonts w:asciiTheme="minorHAnsi" w:hAnsiTheme="minorHAnsi"/>
        </w:rPr>
      </w:pPr>
      <w:r w:rsidRPr="007A54DA">
        <w:rPr>
          <w:rFonts w:asciiTheme="minorHAnsi" w:hAnsiTheme="minorHAnsi"/>
        </w:rPr>
        <w:t>The Act devolves responsibility for preparing AAPs t</w:t>
      </w:r>
      <w:r>
        <w:rPr>
          <w:rFonts w:asciiTheme="minorHAnsi" w:hAnsiTheme="minorHAnsi"/>
        </w:rPr>
        <w:t>o relevant portfolio Ministers.</w:t>
      </w:r>
    </w:p>
    <w:p w:rsidR="007A54DA" w:rsidRPr="007A54DA" w:rsidRDefault="007A54DA" w:rsidP="007A54DA">
      <w:pPr>
        <w:pStyle w:val="Default"/>
        <w:spacing w:after="120" w:line="276" w:lineRule="auto"/>
        <w:rPr>
          <w:rFonts w:asciiTheme="minorHAnsi" w:hAnsiTheme="minorHAnsi"/>
        </w:rPr>
      </w:pPr>
      <w:r w:rsidRPr="007A54DA">
        <w:rPr>
          <w:rFonts w:asciiTheme="minorHAnsi" w:hAnsiTheme="minorHAnsi"/>
        </w:rPr>
        <w:t>The Minister for Energy, Environment and Climate Change, in consultation with the Premier, will nominate the most appropr</w:t>
      </w:r>
      <w:r>
        <w:rPr>
          <w:rFonts w:asciiTheme="minorHAnsi" w:hAnsiTheme="minorHAnsi"/>
        </w:rPr>
        <w:t>iate Ministers to prepare AAPs.</w:t>
      </w:r>
    </w:p>
    <w:p w:rsidR="007A54DA" w:rsidRDefault="007A54DA" w:rsidP="007A54DA">
      <w:pPr>
        <w:pStyle w:val="Default"/>
        <w:spacing w:after="120" w:line="276" w:lineRule="auto"/>
        <w:rPr>
          <w:rFonts w:asciiTheme="minorHAnsi" w:hAnsiTheme="minorHAnsi"/>
        </w:rPr>
      </w:pPr>
      <w:r w:rsidRPr="007A54DA">
        <w:rPr>
          <w:rFonts w:asciiTheme="minorHAnsi" w:hAnsiTheme="minorHAnsi"/>
        </w:rPr>
        <w:t>The nomination process will be flexible to allow the Minister to nominate Ministers to prepare AAPs for a whole system, part of a system or a combination of systems.</w:t>
      </w:r>
    </w:p>
    <w:p w:rsidR="007A54DA" w:rsidRPr="007A54DA" w:rsidRDefault="007A54DA" w:rsidP="007A54DA">
      <w:pPr>
        <w:pStyle w:val="Default"/>
        <w:spacing w:after="120" w:line="276" w:lineRule="auto"/>
        <w:rPr>
          <w:rFonts w:asciiTheme="minorHAnsi" w:hAnsiTheme="minorHAnsi"/>
        </w:rPr>
      </w:pPr>
      <w:r w:rsidRPr="007A54DA">
        <w:rPr>
          <w:rFonts w:asciiTheme="minorHAnsi" w:hAnsiTheme="minorHAnsi"/>
        </w:rPr>
        <w:t>For example, a specific ‘Energy Adaptation Action Plan’ could also be created by extracting energy infrastructure fro</w:t>
      </w:r>
      <w:r>
        <w:rPr>
          <w:rFonts w:asciiTheme="minorHAnsi" w:hAnsiTheme="minorHAnsi"/>
        </w:rPr>
        <w:t>m the built environment system.</w:t>
      </w:r>
    </w:p>
    <w:p w:rsidR="007A54DA" w:rsidRDefault="007A54DA">
      <w:pPr>
        <w:rPr>
          <w:rFonts w:cs="Arial"/>
          <w:b/>
          <w:bCs/>
          <w:i/>
          <w:color w:val="000000"/>
          <w:sz w:val="32"/>
          <w:szCs w:val="24"/>
        </w:rPr>
      </w:pPr>
      <w:r>
        <w:rPr>
          <w:b/>
          <w:bCs/>
          <w:i/>
          <w:sz w:val="32"/>
        </w:rPr>
        <w:br w:type="page"/>
      </w:r>
    </w:p>
    <w:p w:rsidR="007A54DA" w:rsidRPr="007A54DA" w:rsidRDefault="007A54DA" w:rsidP="007A54DA">
      <w:pPr>
        <w:pStyle w:val="Default"/>
        <w:spacing w:after="120" w:line="276" w:lineRule="auto"/>
        <w:rPr>
          <w:rFonts w:asciiTheme="minorHAnsi" w:hAnsiTheme="minorHAnsi"/>
          <w:b/>
          <w:bCs/>
          <w:i/>
          <w:sz w:val="32"/>
        </w:rPr>
      </w:pPr>
      <w:r>
        <w:rPr>
          <w:rFonts w:asciiTheme="minorHAnsi" w:hAnsiTheme="minorHAnsi"/>
          <w:b/>
          <w:bCs/>
          <w:i/>
          <w:sz w:val="32"/>
        </w:rPr>
        <w:lastRenderedPageBreak/>
        <w:t>Timing</w:t>
      </w:r>
    </w:p>
    <w:p w:rsidR="007A54DA" w:rsidRPr="007A54DA" w:rsidRDefault="007A54DA" w:rsidP="007A54DA">
      <w:pPr>
        <w:pStyle w:val="Default"/>
        <w:spacing w:after="120" w:line="276" w:lineRule="auto"/>
        <w:rPr>
          <w:rFonts w:asciiTheme="minorHAnsi" w:hAnsiTheme="minorHAnsi"/>
        </w:rPr>
      </w:pPr>
      <w:r w:rsidRPr="007A54DA">
        <w:rPr>
          <w:rFonts w:asciiTheme="minorHAnsi" w:hAnsiTheme="minorHAnsi"/>
        </w:rPr>
        <w:t xml:space="preserve">All AAPs will be developed in the year following the release of the five-yearly Climate Change Strategy. This will allow AAPs to respond to the Statement of Priorities of the most recent Strategy, and help </w:t>
      </w:r>
      <w:r>
        <w:rPr>
          <w:rFonts w:asciiTheme="minorHAnsi" w:hAnsiTheme="minorHAnsi"/>
        </w:rPr>
        <w:t>them focus on effective action.</w:t>
      </w:r>
    </w:p>
    <w:p w:rsidR="007A54DA" w:rsidRPr="007A54DA" w:rsidRDefault="007A54DA" w:rsidP="007A54DA">
      <w:pPr>
        <w:pStyle w:val="Default"/>
        <w:spacing w:after="120" w:line="276" w:lineRule="auto"/>
        <w:rPr>
          <w:rFonts w:asciiTheme="minorHAnsi" w:hAnsiTheme="minorHAnsi"/>
        </w:rPr>
      </w:pPr>
      <w:r w:rsidRPr="007A54DA">
        <w:rPr>
          <w:rFonts w:asciiTheme="minorHAnsi" w:hAnsiTheme="minorHAnsi"/>
        </w:rPr>
        <w:t>AAPs will be tabled in Parliament and published on the</w:t>
      </w:r>
      <w:r>
        <w:rPr>
          <w:rFonts w:asciiTheme="minorHAnsi" w:hAnsiTheme="minorHAnsi"/>
        </w:rPr>
        <w:t xml:space="preserve"> relevant Department’s website.</w:t>
      </w:r>
    </w:p>
    <w:p w:rsidR="007A54DA" w:rsidRPr="007A54DA" w:rsidRDefault="007A54DA" w:rsidP="007A54DA">
      <w:pPr>
        <w:pStyle w:val="Default"/>
        <w:spacing w:after="120" w:line="276" w:lineRule="auto"/>
        <w:rPr>
          <w:rFonts w:asciiTheme="minorHAnsi" w:hAnsiTheme="minorHAnsi"/>
          <w:b/>
          <w:bCs/>
          <w:i/>
          <w:sz w:val="32"/>
        </w:rPr>
      </w:pPr>
      <w:r w:rsidRPr="007A54DA">
        <w:rPr>
          <w:rFonts w:asciiTheme="minorHAnsi" w:hAnsiTheme="minorHAnsi"/>
          <w:b/>
          <w:bCs/>
          <w:i/>
          <w:sz w:val="32"/>
        </w:rPr>
        <w:t>Process for deve</w:t>
      </w:r>
      <w:r>
        <w:rPr>
          <w:rFonts w:asciiTheme="minorHAnsi" w:hAnsiTheme="minorHAnsi"/>
          <w:b/>
          <w:bCs/>
          <w:i/>
          <w:sz w:val="32"/>
        </w:rPr>
        <w:t>loping AAPs</w:t>
      </w:r>
    </w:p>
    <w:p w:rsidR="007A54DA" w:rsidRPr="007A54DA" w:rsidRDefault="007A54DA" w:rsidP="007A54DA">
      <w:pPr>
        <w:pStyle w:val="Default"/>
        <w:spacing w:after="120" w:line="276" w:lineRule="auto"/>
        <w:rPr>
          <w:rFonts w:asciiTheme="minorHAnsi" w:hAnsiTheme="minorHAnsi"/>
        </w:rPr>
      </w:pPr>
      <w:r w:rsidRPr="007A54DA">
        <w:rPr>
          <w:rFonts w:asciiTheme="minorHAnsi" w:hAnsiTheme="minorHAnsi"/>
        </w:rPr>
        <w:t>AAPs will build on, and not duplicate existing work. Each will begin with a ‘gap analysis’ to determine how current policy for that system addresses the priorities contained in the most recent Climate Change Strategy. The results of this analysis will need to be published in the AAP and inform what actions are required to help prepare that sys</w:t>
      </w:r>
      <w:r>
        <w:rPr>
          <w:rFonts w:asciiTheme="minorHAnsi" w:hAnsiTheme="minorHAnsi"/>
        </w:rPr>
        <w:t>tem for climate change impacts.</w:t>
      </w:r>
    </w:p>
    <w:p w:rsidR="007A54DA" w:rsidRPr="007A54DA" w:rsidRDefault="007A54DA" w:rsidP="007A54DA">
      <w:pPr>
        <w:pStyle w:val="Default"/>
        <w:spacing w:after="120" w:line="276" w:lineRule="auto"/>
        <w:rPr>
          <w:rFonts w:asciiTheme="minorHAnsi" w:hAnsiTheme="minorHAnsi"/>
        </w:rPr>
      </w:pPr>
      <w:r w:rsidRPr="007A54DA">
        <w:rPr>
          <w:rFonts w:asciiTheme="minorHAnsi" w:hAnsiTheme="minorHAnsi"/>
        </w:rPr>
        <w:t>AAPs can also address additional risks, vulnerabilities, opportunities</w:t>
      </w:r>
      <w:r>
        <w:rPr>
          <w:rFonts w:asciiTheme="minorHAnsi" w:hAnsiTheme="minorHAnsi"/>
        </w:rPr>
        <w:t xml:space="preserve"> or system-specific priorities.</w:t>
      </w:r>
    </w:p>
    <w:p w:rsidR="007A54DA" w:rsidRPr="007A54DA" w:rsidRDefault="007A54DA" w:rsidP="007A54DA">
      <w:pPr>
        <w:pStyle w:val="Default"/>
        <w:spacing w:after="120" w:line="276" w:lineRule="auto"/>
        <w:rPr>
          <w:rFonts w:asciiTheme="minorHAnsi" w:hAnsiTheme="minorHAnsi"/>
          <w:b/>
          <w:bCs/>
          <w:i/>
          <w:sz w:val="32"/>
        </w:rPr>
      </w:pPr>
      <w:r>
        <w:rPr>
          <w:rFonts w:asciiTheme="minorHAnsi" w:hAnsiTheme="minorHAnsi"/>
          <w:b/>
          <w:bCs/>
          <w:i/>
          <w:sz w:val="32"/>
        </w:rPr>
        <w:t>Content of AAPs</w:t>
      </w:r>
    </w:p>
    <w:p w:rsidR="007A54DA" w:rsidRPr="007A54DA" w:rsidRDefault="007A54DA" w:rsidP="007A54DA">
      <w:pPr>
        <w:pStyle w:val="Default"/>
        <w:spacing w:line="276" w:lineRule="auto"/>
        <w:rPr>
          <w:rFonts w:asciiTheme="minorHAnsi" w:hAnsiTheme="minorHAnsi"/>
        </w:rPr>
      </w:pPr>
      <w:r w:rsidRPr="007A54DA">
        <w:rPr>
          <w:rFonts w:asciiTheme="minorHAnsi" w:hAnsiTheme="minorHAnsi"/>
        </w:rPr>
        <w:t>At a minimum, AA</w:t>
      </w:r>
      <w:r>
        <w:rPr>
          <w:rFonts w:asciiTheme="minorHAnsi" w:hAnsiTheme="minorHAnsi"/>
        </w:rPr>
        <w:t>Ps will be required to contain:</w:t>
      </w:r>
    </w:p>
    <w:p w:rsidR="007A54DA" w:rsidRPr="007A54DA" w:rsidRDefault="007A54DA" w:rsidP="007A54DA">
      <w:pPr>
        <w:pStyle w:val="Default"/>
        <w:numPr>
          <w:ilvl w:val="0"/>
          <w:numId w:val="2"/>
        </w:numPr>
        <w:spacing w:line="276" w:lineRule="auto"/>
        <w:rPr>
          <w:rFonts w:asciiTheme="minorHAnsi" w:hAnsiTheme="minorHAnsi"/>
        </w:rPr>
      </w:pPr>
      <w:r w:rsidRPr="007A54DA">
        <w:rPr>
          <w:rFonts w:asciiTheme="minorHAnsi" w:hAnsiTheme="minorHAnsi"/>
        </w:rPr>
        <w:t>a statement of the roles and resp</w:t>
      </w:r>
      <w:r>
        <w:rPr>
          <w:rFonts w:asciiTheme="minorHAnsi" w:hAnsiTheme="minorHAnsi"/>
        </w:rPr>
        <w:t>onsibilities across the system;</w:t>
      </w:r>
    </w:p>
    <w:p w:rsidR="007A54DA" w:rsidRPr="007A54DA" w:rsidRDefault="007A54DA" w:rsidP="007A54DA">
      <w:pPr>
        <w:pStyle w:val="Default"/>
        <w:numPr>
          <w:ilvl w:val="0"/>
          <w:numId w:val="2"/>
        </w:numPr>
        <w:spacing w:line="276" w:lineRule="auto"/>
        <w:rPr>
          <w:rFonts w:asciiTheme="minorHAnsi" w:hAnsiTheme="minorHAnsi"/>
        </w:rPr>
      </w:pPr>
      <w:r w:rsidRPr="007A54DA">
        <w:rPr>
          <w:rFonts w:asciiTheme="minorHAnsi" w:hAnsiTheme="minorHAnsi"/>
        </w:rPr>
        <w:t>the outcome of the ‘gap</w:t>
      </w:r>
      <w:r>
        <w:rPr>
          <w:rFonts w:asciiTheme="minorHAnsi" w:hAnsiTheme="minorHAnsi"/>
        </w:rPr>
        <w:t xml:space="preserve"> analysis’ described above; and</w:t>
      </w:r>
    </w:p>
    <w:p w:rsidR="007A54DA" w:rsidRPr="007A54DA" w:rsidRDefault="007A54DA" w:rsidP="007A54DA">
      <w:pPr>
        <w:pStyle w:val="Default"/>
        <w:numPr>
          <w:ilvl w:val="0"/>
          <w:numId w:val="2"/>
        </w:numPr>
        <w:spacing w:after="120" w:line="276" w:lineRule="auto"/>
        <w:rPr>
          <w:rFonts w:asciiTheme="minorHAnsi" w:hAnsiTheme="minorHAnsi"/>
        </w:rPr>
      </w:pPr>
      <w:r w:rsidRPr="007A54DA">
        <w:rPr>
          <w:rFonts w:asciiTheme="minorHAnsi" w:hAnsiTheme="minorHAnsi"/>
        </w:rPr>
        <w:t xml:space="preserve">a list of actions (if any are required) to address any shortcomings </w:t>
      </w:r>
      <w:r>
        <w:rPr>
          <w:rFonts w:asciiTheme="minorHAnsi" w:hAnsiTheme="minorHAnsi"/>
        </w:rPr>
        <w:t>identified in the gap analysis.</w:t>
      </w:r>
    </w:p>
    <w:p w:rsidR="007A54DA" w:rsidRPr="0014722D" w:rsidRDefault="007A54DA" w:rsidP="007A54DA">
      <w:pPr>
        <w:pStyle w:val="Default"/>
        <w:spacing w:after="120" w:line="276" w:lineRule="auto"/>
        <w:rPr>
          <w:rFonts w:asciiTheme="minorHAnsi" w:hAnsiTheme="minorHAnsi"/>
          <w:b/>
          <w:bCs/>
          <w:i/>
          <w:sz w:val="32"/>
        </w:rPr>
      </w:pPr>
      <w:r>
        <w:rPr>
          <w:rFonts w:asciiTheme="minorHAnsi" w:hAnsiTheme="minorHAnsi"/>
          <w:b/>
          <w:bCs/>
          <w:i/>
          <w:sz w:val="32"/>
        </w:rPr>
        <w:t>More information</w:t>
      </w:r>
    </w:p>
    <w:p w:rsidR="007A54DA" w:rsidRPr="007A54DA" w:rsidRDefault="007A54DA" w:rsidP="007A54DA">
      <w:pPr>
        <w:pStyle w:val="Default"/>
        <w:spacing w:after="120" w:line="276" w:lineRule="auto"/>
        <w:rPr>
          <w:rFonts w:asciiTheme="minorHAnsi" w:hAnsiTheme="minorHAnsi"/>
        </w:rPr>
      </w:pPr>
      <w:r w:rsidRPr="007968CA">
        <w:rPr>
          <w:rFonts w:asciiTheme="minorHAnsi" w:hAnsiTheme="minorHAnsi"/>
        </w:rPr>
        <w:t xml:space="preserve">The </w:t>
      </w:r>
      <w:r w:rsidRPr="007968CA">
        <w:rPr>
          <w:rFonts w:asciiTheme="minorHAnsi" w:hAnsiTheme="minorHAnsi"/>
          <w:i/>
        </w:rPr>
        <w:t>Climate Change Act 2017</w:t>
      </w:r>
      <w:r w:rsidRPr="007968CA">
        <w:rPr>
          <w:rFonts w:asciiTheme="minorHAnsi" w:hAnsiTheme="minorHAnsi"/>
        </w:rPr>
        <w:t xml:space="preserve"> is available on the Victorian Legislation website: http://www.legislation.vic.gov.au/</w:t>
      </w:r>
    </w:p>
    <w:sectPr w:rsidR="007A54DA" w:rsidRPr="007A54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C7182"/>
    <w:multiLevelType w:val="hybridMultilevel"/>
    <w:tmpl w:val="A9849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9920454"/>
    <w:multiLevelType w:val="hybridMultilevel"/>
    <w:tmpl w:val="979CD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4DA"/>
    <w:rsid w:val="00107B7F"/>
    <w:rsid w:val="00353368"/>
    <w:rsid w:val="00396534"/>
    <w:rsid w:val="003F3539"/>
    <w:rsid w:val="00587E77"/>
    <w:rsid w:val="00601267"/>
    <w:rsid w:val="006515BB"/>
    <w:rsid w:val="00661750"/>
    <w:rsid w:val="006C5D4F"/>
    <w:rsid w:val="006E4519"/>
    <w:rsid w:val="00797AAB"/>
    <w:rsid w:val="007A54DA"/>
    <w:rsid w:val="008E3F32"/>
    <w:rsid w:val="009037A8"/>
    <w:rsid w:val="00A83FDA"/>
    <w:rsid w:val="00AF234E"/>
    <w:rsid w:val="00B1186B"/>
    <w:rsid w:val="00B27CCE"/>
    <w:rsid w:val="00BC6469"/>
    <w:rsid w:val="00C83E56"/>
    <w:rsid w:val="00CF6E8C"/>
    <w:rsid w:val="00D60FB7"/>
    <w:rsid w:val="00DE048A"/>
    <w:rsid w:val="00E228E5"/>
    <w:rsid w:val="00E359BC"/>
    <w:rsid w:val="00E57183"/>
    <w:rsid w:val="00E73CC1"/>
    <w:rsid w:val="00F272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1106"/>
  <w15:chartTrackingRefBased/>
  <w15:docId w15:val="{2EF09E58-C841-4170-8BB4-9AFC0EB1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A5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54D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 Jones (DELWP)</dc:creator>
  <cp:keywords/>
  <dc:description/>
  <cp:lastModifiedBy>Jenny A Jones (DELWP)</cp:lastModifiedBy>
  <cp:revision>1</cp:revision>
  <dcterms:created xsi:type="dcterms:W3CDTF">2017-10-05T23:21:00Z</dcterms:created>
  <dcterms:modified xsi:type="dcterms:W3CDTF">2017-10-05T23:27:00Z</dcterms:modified>
</cp:coreProperties>
</file>