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D83" w:rsidRPr="006009FB" w:rsidRDefault="00FB1D83" w:rsidP="00032816">
      <w:pPr>
        <w:rPr>
          <w:rFonts w:asciiTheme="minorHAnsi" w:hAnsiTheme="minorHAnsi"/>
          <w:b/>
        </w:rPr>
      </w:pPr>
    </w:p>
    <w:p w:rsidR="009147A8" w:rsidRPr="008352A4" w:rsidRDefault="00435212" w:rsidP="009147A8">
      <w:pPr>
        <w:jc w:val="center"/>
        <w:rPr>
          <w:rFonts w:asciiTheme="minorHAnsi" w:hAnsiTheme="minorHAnsi"/>
          <w:b/>
          <w:sz w:val="24"/>
        </w:rPr>
      </w:pPr>
      <w:r w:rsidRPr="008352A4">
        <w:rPr>
          <w:rFonts w:asciiTheme="minorHAnsi" w:hAnsiTheme="minorHAnsi"/>
          <w:b/>
          <w:sz w:val="24"/>
        </w:rPr>
        <w:t>TERM</w:t>
      </w:r>
      <w:r w:rsidR="00DC4E05" w:rsidRPr="008352A4">
        <w:rPr>
          <w:rFonts w:asciiTheme="minorHAnsi" w:hAnsiTheme="minorHAnsi"/>
          <w:b/>
          <w:sz w:val="24"/>
        </w:rPr>
        <w:t>S OF REFERENCE</w:t>
      </w:r>
    </w:p>
    <w:p w:rsidR="00CE73BD" w:rsidRPr="008352A4" w:rsidRDefault="00491B98" w:rsidP="00CE73BD">
      <w:pPr>
        <w:jc w:val="center"/>
        <w:rPr>
          <w:rFonts w:asciiTheme="minorHAnsi" w:hAnsiTheme="minorHAnsi"/>
          <w:b/>
          <w:sz w:val="24"/>
        </w:rPr>
      </w:pPr>
      <w:r w:rsidRPr="008352A4">
        <w:rPr>
          <w:rFonts w:asciiTheme="minorHAnsi" w:hAnsiTheme="minorHAnsi"/>
          <w:b/>
          <w:sz w:val="24"/>
        </w:rPr>
        <w:t>INTERIM TARGETS INDEPENDENT EXPERT PANEL</w:t>
      </w:r>
    </w:p>
    <w:p w:rsidR="00581BD7" w:rsidRPr="006009FB" w:rsidRDefault="00581BD7" w:rsidP="000C7F90">
      <w:pPr>
        <w:pStyle w:val="Body"/>
        <w:rPr>
          <w:rFonts w:asciiTheme="minorHAnsi" w:hAnsiTheme="minorHAnsi"/>
          <w:b/>
        </w:rPr>
      </w:pPr>
    </w:p>
    <w:p w:rsidR="00C77F25" w:rsidRPr="006009FB" w:rsidRDefault="00AD1662" w:rsidP="00AD1662">
      <w:pPr>
        <w:pStyle w:val="Heading1"/>
        <w:numPr>
          <w:ilvl w:val="0"/>
          <w:numId w:val="15"/>
        </w:numPr>
        <w:spacing w:before="0" w:after="120"/>
        <w:ind w:left="426" w:hanging="426"/>
        <w:rPr>
          <w:rFonts w:asciiTheme="minorHAnsi" w:hAnsiTheme="minorHAnsi"/>
          <w:b w:val="0"/>
        </w:rPr>
      </w:pPr>
      <w:r w:rsidRPr="006009FB">
        <w:rPr>
          <w:rFonts w:asciiTheme="minorHAnsi" w:hAnsiTheme="minorHAnsi"/>
          <w:kern w:val="0"/>
          <w:sz w:val="22"/>
        </w:rPr>
        <w:t>Introduction</w:t>
      </w:r>
    </w:p>
    <w:p w:rsidR="00435212" w:rsidRDefault="00DD6F56" w:rsidP="0006228B">
      <w:pPr>
        <w:pStyle w:val="Body"/>
        <w:spacing w:after="240"/>
        <w:rPr>
          <w:rFonts w:asciiTheme="minorHAnsi" w:hAnsiTheme="minorHAnsi"/>
        </w:rPr>
      </w:pPr>
      <w:r w:rsidRPr="006009FB">
        <w:rPr>
          <w:rFonts w:asciiTheme="minorHAnsi" w:hAnsiTheme="minorHAnsi"/>
        </w:rPr>
        <w:t xml:space="preserve">The </w:t>
      </w:r>
      <w:r w:rsidR="009671A2">
        <w:rPr>
          <w:rFonts w:asciiTheme="minorHAnsi" w:hAnsiTheme="minorHAnsi"/>
          <w:i/>
        </w:rPr>
        <w:t>Climate Change Act 2017</w:t>
      </w:r>
      <w:r w:rsidR="009671A2">
        <w:rPr>
          <w:rFonts w:asciiTheme="minorHAnsi" w:hAnsiTheme="minorHAnsi"/>
        </w:rPr>
        <w:t xml:space="preserve"> </w:t>
      </w:r>
      <w:r w:rsidR="00C230C0">
        <w:rPr>
          <w:rFonts w:asciiTheme="minorHAnsi" w:hAnsiTheme="minorHAnsi"/>
        </w:rPr>
        <w:t>(</w:t>
      </w:r>
      <w:r w:rsidR="00C230C0" w:rsidRPr="00C230C0">
        <w:rPr>
          <w:rFonts w:asciiTheme="minorHAnsi" w:hAnsiTheme="minorHAnsi"/>
          <w:b/>
        </w:rPr>
        <w:t>the Act</w:t>
      </w:r>
      <w:r w:rsidR="00C230C0">
        <w:rPr>
          <w:rFonts w:asciiTheme="minorHAnsi" w:hAnsiTheme="minorHAnsi"/>
        </w:rPr>
        <w:t xml:space="preserve">) </w:t>
      </w:r>
      <w:r w:rsidR="000A1286">
        <w:rPr>
          <w:rFonts w:cs="Calibri"/>
          <w:color w:val="000000"/>
          <w:szCs w:val="22"/>
        </w:rPr>
        <w:t xml:space="preserve">provides Victoria with a world-leading legislative foundation to manage climate change risks; maximise the opportunities that arise from taking decisive action; and drive Victoria’s transition to a net zero emissions, climate-resilient community and economy. The Act </w:t>
      </w:r>
      <w:r w:rsidR="00EF25B5">
        <w:rPr>
          <w:rFonts w:asciiTheme="minorHAnsi" w:hAnsiTheme="minorHAnsi"/>
        </w:rPr>
        <w:t>comes</w:t>
      </w:r>
      <w:r w:rsidR="000A1286">
        <w:rPr>
          <w:rFonts w:asciiTheme="minorHAnsi" w:hAnsiTheme="minorHAnsi"/>
        </w:rPr>
        <w:t xml:space="preserve"> into effect </w:t>
      </w:r>
      <w:r w:rsidR="009671A2">
        <w:rPr>
          <w:rFonts w:asciiTheme="minorHAnsi" w:hAnsiTheme="minorHAnsi"/>
        </w:rPr>
        <w:t>on 1 November 2017.</w:t>
      </w:r>
    </w:p>
    <w:p w:rsidR="00C230C0" w:rsidRPr="0006228B" w:rsidRDefault="00C230C0" w:rsidP="0006228B">
      <w:pPr>
        <w:pStyle w:val="Body"/>
        <w:spacing w:after="240"/>
        <w:rPr>
          <w:rFonts w:asciiTheme="minorHAnsi" w:hAnsiTheme="minorHAnsi"/>
        </w:rPr>
      </w:pPr>
      <w:r>
        <w:rPr>
          <w:rFonts w:asciiTheme="minorHAnsi" w:hAnsiTheme="minorHAnsi"/>
        </w:rPr>
        <w:t>In January 2017, the Government released Victo</w:t>
      </w:r>
      <w:r w:rsidR="00406418">
        <w:rPr>
          <w:rFonts w:asciiTheme="minorHAnsi" w:hAnsiTheme="minorHAnsi"/>
        </w:rPr>
        <w:t>ria’s Climate Change Framework.</w:t>
      </w:r>
      <w:r>
        <w:rPr>
          <w:rFonts w:asciiTheme="minorHAnsi" w:hAnsiTheme="minorHAnsi"/>
        </w:rPr>
        <w:t xml:space="preserve"> The Framework included a target to reduce Victoria’s emissions by 15-20 per cent below 2005 levels by 2020.</w:t>
      </w:r>
    </w:p>
    <w:p w:rsidR="00DC4E05" w:rsidRDefault="00902622" w:rsidP="00435212">
      <w:pPr>
        <w:pStyle w:val="Default"/>
        <w:rPr>
          <w:rFonts w:asciiTheme="minorHAnsi" w:hAnsiTheme="minorHAnsi"/>
          <w:sz w:val="22"/>
          <w:szCs w:val="20"/>
        </w:rPr>
      </w:pPr>
      <w:r>
        <w:rPr>
          <w:rFonts w:asciiTheme="minorHAnsi" w:hAnsiTheme="minorHAnsi"/>
          <w:sz w:val="22"/>
          <w:szCs w:val="20"/>
        </w:rPr>
        <w:t>Section 10 of t</w:t>
      </w:r>
      <w:r w:rsidR="00435212" w:rsidRPr="00435212">
        <w:rPr>
          <w:rFonts w:asciiTheme="minorHAnsi" w:hAnsiTheme="minorHAnsi"/>
          <w:sz w:val="22"/>
          <w:szCs w:val="20"/>
        </w:rPr>
        <w:t xml:space="preserve">he Act requires the Premier and the Minister </w:t>
      </w:r>
      <w:r w:rsidR="004A2ECD">
        <w:rPr>
          <w:rFonts w:asciiTheme="minorHAnsi" w:hAnsiTheme="minorHAnsi"/>
          <w:sz w:val="22"/>
          <w:szCs w:val="20"/>
        </w:rPr>
        <w:t xml:space="preserve">responsible for administering the Act (the Minister for Energy, Environment and Climate Change, hereafter </w:t>
      </w:r>
      <w:r w:rsidR="004A2ECD">
        <w:rPr>
          <w:rFonts w:asciiTheme="minorHAnsi" w:hAnsiTheme="minorHAnsi"/>
          <w:b/>
          <w:sz w:val="22"/>
          <w:szCs w:val="20"/>
        </w:rPr>
        <w:t>the Minister</w:t>
      </w:r>
      <w:r w:rsidR="004A2ECD">
        <w:rPr>
          <w:rFonts w:asciiTheme="minorHAnsi" w:hAnsiTheme="minorHAnsi"/>
          <w:sz w:val="22"/>
          <w:szCs w:val="20"/>
        </w:rPr>
        <w:t xml:space="preserve">) </w:t>
      </w:r>
      <w:r w:rsidR="00435212" w:rsidRPr="00435212">
        <w:rPr>
          <w:rFonts w:asciiTheme="minorHAnsi" w:hAnsiTheme="minorHAnsi"/>
          <w:sz w:val="22"/>
          <w:szCs w:val="20"/>
        </w:rPr>
        <w:t xml:space="preserve">to set five-yearly interim targets to keep Victoria on track to meeting the </w:t>
      </w:r>
      <w:r w:rsidR="000A1286">
        <w:rPr>
          <w:rFonts w:asciiTheme="minorHAnsi" w:hAnsiTheme="minorHAnsi"/>
          <w:sz w:val="22"/>
          <w:szCs w:val="20"/>
        </w:rPr>
        <w:t xml:space="preserve">Act’s </w:t>
      </w:r>
      <w:r w:rsidR="00435212" w:rsidRPr="00435212">
        <w:rPr>
          <w:rFonts w:asciiTheme="minorHAnsi" w:hAnsiTheme="minorHAnsi"/>
          <w:sz w:val="22"/>
          <w:szCs w:val="20"/>
        </w:rPr>
        <w:t>long-term target</w:t>
      </w:r>
      <w:r w:rsidR="000A1286">
        <w:rPr>
          <w:rFonts w:asciiTheme="minorHAnsi" w:hAnsiTheme="minorHAnsi"/>
          <w:sz w:val="22"/>
          <w:szCs w:val="20"/>
        </w:rPr>
        <w:t xml:space="preserve"> of net zero greenhouse gas emissions by 2050</w:t>
      </w:r>
      <w:r w:rsidR="00435212" w:rsidRPr="00435212">
        <w:rPr>
          <w:rFonts w:asciiTheme="minorHAnsi" w:hAnsiTheme="minorHAnsi"/>
          <w:sz w:val="22"/>
          <w:szCs w:val="20"/>
        </w:rPr>
        <w:t>.</w:t>
      </w:r>
      <w:r w:rsidR="00435212">
        <w:rPr>
          <w:rFonts w:asciiTheme="minorHAnsi" w:hAnsiTheme="minorHAnsi"/>
          <w:sz w:val="22"/>
          <w:szCs w:val="20"/>
        </w:rPr>
        <w:t xml:space="preserve"> The Government </w:t>
      </w:r>
      <w:r w:rsidR="000A1286">
        <w:rPr>
          <w:rFonts w:asciiTheme="minorHAnsi" w:hAnsiTheme="minorHAnsi"/>
          <w:sz w:val="22"/>
          <w:szCs w:val="20"/>
        </w:rPr>
        <w:t>will announce</w:t>
      </w:r>
      <w:r w:rsidR="00435212">
        <w:rPr>
          <w:rFonts w:asciiTheme="minorHAnsi" w:hAnsiTheme="minorHAnsi"/>
          <w:sz w:val="22"/>
          <w:szCs w:val="20"/>
        </w:rPr>
        <w:t xml:space="preserve"> </w:t>
      </w:r>
      <w:r w:rsidR="000A1286">
        <w:rPr>
          <w:rFonts w:asciiTheme="minorHAnsi" w:hAnsiTheme="minorHAnsi"/>
          <w:sz w:val="22"/>
          <w:szCs w:val="20"/>
        </w:rPr>
        <w:t xml:space="preserve">the first two interim </w:t>
      </w:r>
      <w:r w:rsidR="00435212">
        <w:rPr>
          <w:rFonts w:asciiTheme="minorHAnsi" w:hAnsiTheme="minorHAnsi"/>
          <w:sz w:val="22"/>
          <w:szCs w:val="20"/>
        </w:rPr>
        <w:t>targets</w:t>
      </w:r>
      <w:r w:rsidR="000A1286">
        <w:rPr>
          <w:rFonts w:asciiTheme="minorHAnsi" w:hAnsiTheme="minorHAnsi"/>
          <w:sz w:val="22"/>
          <w:szCs w:val="20"/>
        </w:rPr>
        <w:t xml:space="preserve"> –</w:t>
      </w:r>
      <w:r w:rsidR="00435212">
        <w:rPr>
          <w:rFonts w:asciiTheme="minorHAnsi" w:hAnsiTheme="minorHAnsi"/>
          <w:sz w:val="22"/>
          <w:szCs w:val="20"/>
        </w:rPr>
        <w:t xml:space="preserve"> for 2021-25 and 2026-30</w:t>
      </w:r>
      <w:r w:rsidR="000A1286">
        <w:rPr>
          <w:rFonts w:asciiTheme="minorHAnsi" w:hAnsiTheme="minorHAnsi"/>
          <w:sz w:val="22"/>
          <w:szCs w:val="20"/>
        </w:rPr>
        <w:t xml:space="preserve"> –</w:t>
      </w:r>
      <w:r w:rsidR="00435212">
        <w:rPr>
          <w:rFonts w:asciiTheme="minorHAnsi" w:hAnsiTheme="minorHAnsi"/>
          <w:sz w:val="22"/>
          <w:szCs w:val="20"/>
        </w:rPr>
        <w:t xml:space="preserve"> in 2018.</w:t>
      </w:r>
    </w:p>
    <w:p w:rsidR="00DC4E05" w:rsidRDefault="00DC4E05" w:rsidP="00DC4E05">
      <w:pPr>
        <w:pStyle w:val="Default"/>
      </w:pPr>
    </w:p>
    <w:p w:rsidR="00C230C0" w:rsidRDefault="00902622" w:rsidP="00DC4E05">
      <w:pPr>
        <w:pStyle w:val="Default"/>
        <w:rPr>
          <w:rFonts w:asciiTheme="minorHAnsi" w:hAnsiTheme="minorHAnsi"/>
          <w:sz w:val="22"/>
          <w:szCs w:val="20"/>
        </w:rPr>
      </w:pPr>
      <w:r>
        <w:rPr>
          <w:rFonts w:asciiTheme="minorHAnsi" w:hAnsiTheme="minorHAnsi"/>
          <w:sz w:val="22"/>
          <w:szCs w:val="20"/>
        </w:rPr>
        <w:t>Section 12 of t</w:t>
      </w:r>
      <w:r w:rsidR="00DC4E05">
        <w:rPr>
          <w:rFonts w:asciiTheme="minorHAnsi" w:hAnsiTheme="minorHAnsi"/>
          <w:sz w:val="22"/>
          <w:szCs w:val="20"/>
        </w:rPr>
        <w:t xml:space="preserve">he </w:t>
      </w:r>
      <w:r w:rsidR="00DC4E05" w:rsidRPr="004A2ECD">
        <w:rPr>
          <w:rFonts w:asciiTheme="minorHAnsi" w:hAnsiTheme="minorHAnsi"/>
          <w:sz w:val="22"/>
          <w:szCs w:val="20"/>
        </w:rPr>
        <w:t>Act</w:t>
      </w:r>
      <w:r w:rsidR="00DC4E05">
        <w:rPr>
          <w:rFonts w:asciiTheme="minorHAnsi" w:hAnsiTheme="minorHAnsi"/>
          <w:sz w:val="22"/>
          <w:szCs w:val="20"/>
        </w:rPr>
        <w:t xml:space="preserve"> requires </w:t>
      </w:r>
      <w:r w:rsidR="00DC4E05" w:rsidRPr="00DC4E05">
        <w:rPr>
          <w:rFonts w:asciiTheme="minorHAnsi" w:hAnsiTheme="minorHAnsi"/>
          <w:sz w:val="22"/>
          <w:szCs w:val="20"/>
        </w:rPr>
        <w:t xml:space="preserve">the Minister to </w:t>
      </w:r>
      <w:r w:rsidR="000A1286">
        <w:rPr>
          <w:rFonts w:asciiTheme="minorHAnsi" w:hAnsiTheme="minorHAnsi"/>
          <w:sz w:val="22"/>
          <w:szCs w:val="20"/>
        </w:rPr>
        <w:t>“</w:t>
      </w:r>
      <w:r w:rsidR="00DC4E05" w:rsidRPr="00DC4E05">
        <w:rPr>
          <w:rFonts w:asciiTheme="minorHAnsi" w:hAnsiTheme="minorHAnsi"/>
          <w:sz w:val="22"/>
          <w:szCs w:val="20"/>
        </w:rPr>
        <w:t xml:space="preserve">obtain advice from one or more </w:t>
      </w:r>
      <w:r w:rsidR="00DC4E05">
        <w:rPr>
          <w:rFonts w:asciiTheme="minorHAnsi" w:hAnsiTheme="minorHAnsi"/>
          <w:sz w:val="22"/>
          <w:szCs w:val="20"/>
        </w:rPr>
        <w:t>persons who are appropriately qualified, in the Minister’s opinion, to act as an independent expert</w:t>
      </w:r>
      <w:r w:rsidR="000A1286">
        <w:rPr>
          <w:rFonts w:asciiTheme="minorHAnsi" w:hAnsiTheme="minorHAnsi"/>
          <w:sz w:val="22"/>
          <w:szCs w:val="20"/>
        </w:rPr>
        <w:t>”</w:t>
      </w:r>
      <w:r w:rsidR="00DC4E05" w:rsidRPr="00DC4E05">
        <w:rPr>
          <w:rFonts w:asciiTheme="minorHAnsi" w:hAnsiTheme="minorHAnsi"/>
          <w:sz w:val="22"/>
          <w:szCs w:val="20"/>
        </w:rPr>
        <w:t>.</w:t>
      </w:r>
      <w:r w:rsidR="000A1286">
        <w:rPr>
          <w:rFonts w:asciiTheme="minorHAnsi" w:hAnsiTheme="minorHAnsi"/>
          <w:sz w:val="22"/>
          <w:szCs w:val="20"/>
        </w:rPr>
        <w:t xml:space="preserve">  The Interim Targets Independent Expert Panel </w:t>
      </w:r>
      <w:r w:rsidR="00C230C0">
        <w:rPr>
          <w:rFonts w:asciiTheme="minorHAnsi" w:hAnsiTheme="minorHAnsi"/>
          <w:sz w:val="22"/>
          <w:szCs w:val="20"/>
        </w:rPr>
        <w:t>(</w:t>
      </w:r>
      <w:r w:rsidR="00C230C0" w:rsidRPr="00C230C0">
        <w:rPr>
          <w:rFonts w:asciiTheme="minorHAnsi" w:hAnsiTheme="minorHAnsi"/>
          <w:b/>
          <w:sz w:val="22"/>
          <w:szCs w:val="20"/>
        </w:rPr>
        <w:t>the Panel</w:t>
      </w:r>
      <w:r w:rsidR="00C230C0">
        <w:rPr>
          <w:rFonts w:asciiTheme="minorHAnsi" w:hAnsiTheme="minorHAnsi"/>
          <w:sz w:val="22"/>
          <w:szCs w:val="20"/>
        </w:rPr>
        <w:t xml:space="preserve">) </w:t>
      </w:r>
      <w:r w:rsidR="000A1286">
        <w:rPr>
          <w:rFonts w:asciiTheme="minorHAnsi" w:hAnsiTheme="minorHAnsi"/>
          <w:sz w:val="22"/>
          <w:szCs w:val="20"/>
        </w:rPr>
        <w:t>has been established for this purpose.</w:t>
      </w:r>
      <w:r>
        <w:rPr>
          <w:rFonts w:asciiTheme="minorHAnsi" w:hAnsiTheme="minorHAnsi"/>
          <w:sz w:val="22"/>
          <w:szCs w:val="20"/>
        </w:rPr>
        <w:t xml:space="preserve"> The Panel will consist of a Chair and two members.</w:t>
      </w:r>
    </w:p>
    <w:p w:rsidR="00C230C0" w:rsidRDefault="00C230C0" w:rsidP="00DC4E05">
      <w:pPr>
        <w:pStyle w:val="Default"/>
        <w:rPr>
          <w:rFonts w:asciiTheme="minorHAnsi" w:hAnsiTheme="minorHAnsi"/>
          <w:sz w:val="22"/>
          <w:szCs w:val="20"/>
        </w:rPr>
      </w:pPr>
    </w:p>
    <w:p w:rsidR="001C0B6E" w:rsidRDefault="00902622" w:rsidP="00DC4E05">
      <w:pPr>
        <w:pStyle w:val="Default"/>
        <w:rPr>
          <w:rFonts w:asciiTheme="minorHAnsi" w:hAnsiTheme="minorHAnsi"/>
          <w:sz w:val="22"/>
          <w:szCs w:val="20"/>
        </w:rPr>
      </w:pPr>
      <w:r>
        <w:rPr>
          <w:rFonts w:asciiTheme="minorHAnsi" w:hAnsiTheme="minorHAnsi"/>
          <w:sz w:val="22"/>
          <w:szCs w:val="20"/>
        </w:rPr>
        <w:t>Section 12</w:t>
      </w:r>
      <w:r w:rsidR="00C230C0">
        <w:rPr>
          <w:rFonts w:asciiTheme="minorHAnsi" w:hAnsiTheme="minorHAnsi"/>
          <w:sz w:val="22"/>
          <w:szCs w:val="20"/>
        </w:rPr>
        <w:t xml:space="preserve"> of the Act sets out the scope of advice to be provided by the independent expert(s) and the issues they must consider in formulating their advice.  The following scope of work has been framed </w:t>
      </w:r>
      <w:proofErr w:type="gramStart"/>
      <w:r w:rsidR="00C230C0">
        <w:rPr>
          <w:rFonts w:asciiTheme="minorHAnsi" w:hAnsiTheme="minorHAnsi"/>
          <w:sz w:val="22"/>
          <w:szCs w:val="20"/>
        </w:rPr>
        <w:t>in light of</w:t>
      </w:r>
      <w:proofErr w:type="gramEnd"/>
      <w:r w:rsidR="00C230C0">
        <w:rPr>
          <w:rFonts w:asciiTheme="minorHAnsi" w:hAnsiTheme="minorHAnsi"/>
          <w:sz w:val="22"/>
          <w:szCs w:val="20"/>
        </w:rPr>
        <w:t xml:space="preserve"> the provisions of the Act.</w:t>
      </w:r>
    </w:p>
    <w:p w:rsidR="000A1286" w:rsidRPr="00DC4E05" w:rsidRDefault="000A1286" w:rsidP="00DC4E05">
      <w:pPr>
        <w:pStyle w:val="Default"/>
        <w:rPr>
          <w:rFonts w:asciiTheme="minorHAnsi" w:hAnsiTheme="minorHAnsi"/>
          <w:sz w:val="28"/>
        </w:rPr>
      </w:pPr>
    </w:p>
    <w:p w:rsidR="00F84E92" w:rsidRPr="003C7E46" w:rsidRDefault="00F84E92" w:rsidP="00F84E92">
      <w:pPr>
        <w:pStyle w:val="Heading1"/>
        <w:numPr>
          <w:ilvl w:val="0"/>
          <w:numId w:val="15"/>
        </w:numPr>
        <w:spacing w:before="0" w:after="120"/>
        <w:ind w:left="426" w:hanging="426"/>
        <w:rPr>
          <w:rFonts w:asciiTheme="minorHAnsi" w:hAnsiTheme="minorHAnsi"/>
          <w:kern w:val="0"/>
          <w:sz w:val="22"/>
        </w:rPr>
      </w:pPr>
      <w:r w:rsidRPr="003C7E46">
        <w:rPr>
          <w:rFonts w:asciiTheme="minorHAnsi" w:hAnsiTheme="minorHAnsi"/>
          <w:kern w:val="0"/>
          <w:sz w:val="22"/>
        </w:rPr>
        <w:t>Scope</w:t>
      </w:r>
      <w:r w:rsidR="00F328B4">
        <w:rPr>
          <w:rFonts w:asciiTheme="minorHAnsi" w:hAnsiTheme="minorHAnsi"/>
          <w:kern w:val="0"/>
          <w:sz w:val="22"/>
        </w:rPr>
        <w:t xml:space="preserve"> of work </w:t>
      </w:r>
    </w:p>
    <w:p w:rsidR="00032440" w:rsidRDefault="00902622" w:rsidP="00C230C0">
      <w:pPr>
        <w:pStyle w:val="Bullet"/>
        <w:numPr>
          <w:ilvl w:val="0"/>
          <w:numId w:val="45"/>
        </w:numPr>
        <w:tabs>
          <w:tab w:val="clear" w:pos="170"/>
        </w:tabs>
        <w:rPr>
          <w:rFonts w:asciiTheme="minorHAnsi" w:hAnsiTheme="minorHAnsi"/>
        </w:rPr>
      </w:pPr>
      <w:r>
        <w:rPr>
          <w:rFonts w:asciiTheme="minorHAnsi" w:hAnsiTheme="minorHAnsi"/>
        </w:rPr>
        <w:t xml:space="preserve">Section </w:t>
      </w:r>
      <w:r w:rsidR="00E936CE">
        <w:rPr>
          <w:rFonts w:asciiTheme="minorHAnsi" w:hAnsiTheme="minorHAnsi"/>
        </w:rPr>
        <w:t>12 of the Act requires</w:t>
      </w:r>
      <w:r>
        <w:rPr>
          <w:rFonts w:asciiTheme="minorHAnsi" w:hAnsiTheme="minorHAnsi"/>
        </w:rPr>
        <w:t xml:space="preserve"> t</w:t>
      </w:r>
      <w:r w:rsidR="00C230C0">
        <w:rPr>
          <w:rFonts w:asciiTheme="minorHAnsi" w:hAnsiTheme="minorHAnsi"/>
        </w:rPr>
        <w:t xml:space="preserve">he Panel </w:t>
      </w:r>
      <w:r w:rsidR="00E936CE">
        <w:rPr>
          <w:rFonts w:asciiTheme="minorHAnsi" w:hAnsiTheme="minorHAnsi"/>
        </w:rPr>
        <w:t>to</w:t>
      </w:r>
      <w:r w:rsidR="0006228B">
        <w:rPr>
          <w:rFonts w:asciiTheme="minorHAnsi" w:hAnsiTheme="minorHAnsi"/>
        </w:rPr>
        <w:t xml:space="preserve"> provide advice</w:t>
      </w:r>
      <w:r>
        <w:rPr>
          <w:rFonts w:asciiTheme="minorHAnsi" w:hAnsiTheme="minorHAnsi"/>
        </w:rPr>
        <w:t xml:space="preserve"> to the Minister</w:t>
      </w:r>
      <w:r w:rsidR="0006228B">
        <w:rPr>
          <w:rFonts w:asciiTheme="minorHAnsi" w:hAnsiTheme="minorHAnsi"/>
        </w:rPr>
        <w:t xml:space="preserve"> on:</w:t>
      </w:r>
    </w:p>
    <w:p w:rsidR="0006228B" w:rsidRDefault="0006228B" w:rsidP="00C230C0">
      <w:pPr>
        <w:pStyle w:val="Bullet"/>
        <w:numPr>
          <w:ilvl w:val="0"/>
          <w:numId w:val="46"/>
        </w:numPr>
        <w:tabs>
          <w:tab w:val="clear" w:pos="170"/>
        </w:tabs>
        <w:rPr>
          <w:rFonts w:asciiTheme="minorHAnsi" w:hAnsiTheme="minorHAnsi"/>
        </w:rPr>
      </w:pPr>
      <w:r>
        <w:rPr>
          <w:rFonts w:asciiTheme="minorHAnsi" w:hAnsiTheme="minorHAnsi"/>
        </w:rPr>
        <w:t xml:space="preserve">One or more recommended interim targets for reducing greenhouse gas emissions </w:t>
      </w:r>
      <w:r w:rsidR="00C230C0">
        <w:rPr>
          <w:rFonts w:asciiTheme="minorHAnsi" w:hAnsiTheme="minorHAnsi"/>
        </w:rPr>
        <w:t>for the periods 2021-2025 and 2026-2030</w:t>
      </w:r>
      <w:r w:rsidR="00902622">
        <w:rPr>
          <w:rFonts w:asciiTheme="minorHAnsi" w:hAnsiTheme="minorHAnsi"/>
        </w:rPr>
        <w:t>. These must have</w:t>
      </w:r>
      <w:r w:rsidR="000E0DB9">
        <w:rPr>
          <w:rFonts w:asciiTheme="minorHAnsi" w:hAnsiTheme="minorHAnsi"/>
        </w:rPr>
        <w:t xml:space="preserve"> the following characteristics:</w:t>
      </w:r>
    </w:p>
    <w:p w:rsidR="000E0DB9" w:rsidRDefault="000E0DB9" w:rsidP="000E0DB9">
      <w:pPr>
        <w:pStyle w:val="Bullet"/>
        <w:numPr>
          <w:ilvl w:val="1"/>
          <w:numId w:val="49"/>
        </w:numPr>
        <w:tabs>
          <w:tab w:val="clear" w:pos="170"/>
        </w:tabs>
        <w:rPr>
          <w:rFonts w:asciiTheme="minorHAnsi" w:hAnsiTheme="minorHAnsi"/>
        </w:rPr>
      </w:pPr>
      <w:r>
        <w:rPr>
          <w:rFonts w:asciiTheme="minorHAnsi" w:hAnsiTheme="minorHAnsi"/>
        </w:rPr>
        <w:t>Each interim target must constitute a greater reduction in greenhouse gas emissions than any previous interim emissions reduction target</w:t>
      </w:r>
      <w:r w:rsidR="00902622">
        <w:rPr>
          <w:rFonts w:asciiTheme="minorHAnsi" w:hAnsiTheme="minorHAnsi"/>
        </w:rPr>
        <w:t>, as per Section 14(d) of the Act</w:t>
      </w:r>
      <w:r>
        <w:rPr>
          <w:rFonts w:asciiTheme="minorHAnsi" w:hAnsiTheme="minorHAnsi"/>
        </w:rPr>
        <w:t>;</w:t>
      </w:r>
    </w:p>
    <w:p w:rsidR="000E0DB9" w:rsidRDefault="000E0DB9" w:rsidP="000E0DB9">
      <w:pPr>
        <w:pStyle w:val="Bullet"/>
        <w:numPr>
          <w:ilvl w:val="1"/>
          <w:numId w:val="49"/>
        </w:numPr>
        <w:tabs>
          <w:tab w:val="clear" w:pos="170"/>
        </w:tabs>
        <w:rPr>
          <w:rFonts w:asciiTheme="minorHAnsi" w:hAnsiTheme="minorHAnsi"/>
        </w:rPr>
      </w:pPr>
      <w:r>
        <w:rPr>
          <w:rFonts w:asciiTheme="minorHAnsi" w:hAnsiTheme="minorHAnsi"/>
        </w:rPr>
        <w:t>Each interim target must be expressed against a 2005 base year</w:t>
      </w:r>
      <w:r w:rsidR="00902622">
        <w:rPr>
          <w:rFonts w:asciiTheme="minorHAnsi" w:hAnsiTheme="minorHAnsi"/>
        </w:rPr>
        <w:t>, as per Section 11(1) of the Act</w:t>
      </w:r>
      <w:r>
        <w:rPr>
          <w:rFonts w:asciiTheme="minorHAnsi" w:hAnsiTheme="minorHAnsi"/>
        </w:rPr>
        <w:t>.</w:t>
      </w:r>
    </w:p>
    <w:p w:rsidR="0006228B" w:rsidRDefault="00C230C0" w:rsidP="00C230C0">
      <w:pPr>
        <w:pStyle w:val="Bullet"/>
        <w:numPr>
          <w:ilvl w:val="0"/>
          <w:numId w:val="46"/>
        </w:numPr>
        <w:tabs>
          <w:tab w:val="clear" w:pos="170"/>
        </w:tabs>
        <w:rPr>
          <w:rFonts w:asciiTheme="minorHAnsi" w:hAnsiTheme="minorHAnsi"/>
        </w:rPr>
      </w:pPr>
      <w:r>
        <w:rPr>
          <w:rFonts w:asciiTheme="minorHAnsi" w:hAnsiTheme="minorHAnsi"/>
        </w:rPr>
        <w:t xml:space="preserve">Indicative </w:t>
      </w:r>
      <w:r w:rsidR="0006228B">
        <w:rPr>
          <w:rFonts w:asciiTheme="minorHAnsi" w:hAnsiTheme="minorHAnsi"/>
        </w:rPr>
        <w:t xml:space="preserve">trajectories for </w:t>
      </w:r>
      <w:r>
        <w:rPr>
          <w:rFonts w:asciiTheme="minorHAnsi" w:hAnsiTheme="minorHAnsi"/>
        </w:rPr>
        <w:t>Victoria</w:t>
      </w:r>
      <w:r w:rsidR="0006228B">
        <w:rPr>
          <w:rFonts w:asciiTheme="minorHAnsi" w:hAnsiTheme="minorHAnsi"/>
        </w:rPr>
        <w:t xml:space="preserve"> to achieve </w:t>
      </w:r>
      <w:r w:rsidR="00E936CE">
        <w:rPr>
          <w:rFonts w:asciiTheme="minorHAnsi" w:hAnsiTheme="minorHAnsi"/>
        </w:rPr>
        <w:t>the long-term emissions reduction target (</w:t>
      </w:r>
      <w:r>
        <w:rPr>
          <w:rFonts w:asciiTheme="minorHAnsi" w:hAnsiTheme="minorHAnsi"/>
        </w:rPr>
        <w:t>net zero greenhouse gas</w:t>
      </w:r>
      <w:r w:rsidR="0006228B">
        <w:rPr>
          <w:rFonts w:asciiTheme="minorHAnsi" w:hAnsiTheme="minorHAnsi"/>
        </w:rPr>
        <w:t xml:space="preserve"> emissions </w:t>
      </w:r>
      <w:r>
        <w:rPr>
          <w:rFonts w:asciiTheme="minorHAnsi" w:hAnsiTheme="minorHAnsi"/>
        </w:rPr>
        <w:t>by 2050</w:t>
      </w:r>
      <w:r w:rsidR="00E936CE">
        <w:rPr>
          <w:rFonts w:asciiTheme="minorHAnsi" w:hAnsiTheme="minorHAnsi"/>
        </w:rPr>
        <w:t>)</w:t>
      </w:r>
      <w:r>
        <w:rPr>
          <w:rFonts w:asciiTheme="minorHAnsi" w:hAnsiTheme="minorHAnsi"/>
        </w:rPr>
        <w:t xml:space="preserve"> </w:t>
      </w:r>
      <w:r w:rsidR="0006228B">
        <w:rPr>
          <w:rFonts w:asciiTheme="minorHAnsi" w:hAnsiTheme="minorHAnsi"/>
        </w:rPr>
        <w:t>based on each option identified</w:t>
      </w:r>
      <w:r w:rsidR="000E0DB9">
        <w:rPr>
          <w:rFonts w:asciiTheme="minorHAnsi" w:hAnsiTheme="minorHAnsi"/>
        </w:rPr>
        <w:t xml:space="preserve"> under 1</w:t>
      </w:r>
      <w:r>
        <w:rPr>
          <w:rFonts w:asciiTheme="minorHAnsi" w:hAnsiTheme="minorHAnsi"/>
        </w:rPr>
        <w:t>a).</w:t>
      </w:r>
    </w:p>
    <w:p w:rsidR="0006228B" w:rsidRDefault="0006228B" w:rsidP="00C230C0">
      <w:pPr>
        <w:pStyle w:val="Bullet"/>
        <w:numPr>
          <w:ilvl w:val="0"/>
          <w:numId w:val="46"/>
        </w:numPr>
        <w:tabs>
          <w:tab w:val="clear" w:pos="170"/>
        </w:tabs>
        <w:rPr>
          <w:rFonts w:asciiTheme="minorHAnsi" w:hAnsiTheme="minorHAnsi"/>
        </w:rPr>
      </w:pPr>
      <w:r>
        <w:rPr>
          <w:rFonts w:asciiTheme="minorHAnsi" w:hAnsiTheme="minorHAnsi"/>
        </w:rPr>
        <w:t xml:space="preserve">Potential opportunities across the Victorian economy </w:t>
      </w:r>
      <w:proofErr w:type="gramStart"/>
      <w:r>
        <w:rPr>
          <w:rFonts w:asciiTheme="minorHAnsi" w:hAnsiTheme="minorHAnsi"/>
        </w:rPr>
        <w:t>as a whole</w:t>
      </w:r>
      <w:r w:rsidR="00A932F9">
        <w:rPr>
          <w:rFonts w:asciiTheme="minorHAnsi" w:hAnsiTheme="minorHAnsi"/>
        </w:rPr>
        <w:t xml:space="preserve"> </w:t>
      </w:r>
      <w:r w:rsidR="004C1393">
        <w:rPr>
          <w:rFonts w:asciiTheme="minorHAnsi" w:hAnsiTheme="minorHAnsi"/>
        </w:rPr>
        <w:t>to</w:t>
      </w:r>
      <w:proofErr w:type="gramEnd"/>
      <w:r w:rsidR="004C1393">
        <w:rPr>
          <w:rFonts w:asciiTheme="minorHAnsi" w:hAnsiTheme="minorHAnsi"/>
        </w:rPr>
        <w:t xml:space="preserve"> reduce</w:t>
      </w:r>
      <w:r w:rsidR="00A932F9">
        <w:rPr>
          <w:rFonts w:asciiTheme="minorHAnsi" w:hAnsiTheme="minorHAnsi"/>
        </w:rPr>
        <w:t xml:space="preserve"> greenhouse gas emissions in the most efficient and cost-effective manner in </w:t>
      </w:r>
      <w:r w:rsidR="004C1393">
        <w:rPr>
          <w:rFonts w:asciiTheme="minorHAnsi" w:hAnsiTheme="minorHAnsi"/>
        </w:rPr>
        <w:t xml:space="preserve">each </w:t>
      </w:r>
      <w:r w:rsidR="00A932F9">
        <w:rPr>
          <w:rFonts w:asciiTheme="minorHAnsi" w:hAnsiTheme="minorHAnsi"/>
        </w:rPr>
        <w:t>interim target period</w:t>
      </w:r>
      <w:r w:rsidR="004C1393">
        <w:rPr>
          <w:rFonts w:asciiTheme="minorHAnsi" w:hAnsiTheme="minorHAnsi"/>
        </w:rPr>
        <w:t>.</w:t>
      </w:r>
    </w:p>
    <w:p w:rsidR="00A932F9" w:rsidRDefault="00A932F9" w:rsidP="004C1393">
      <w:pPr>
        <w:pStyle w:val="Bullet"/>
        <w:numPr>
          <w:ilvl w:val="0"/>
          <w:numId w:val="45"/>
        </w:numPr>
        <w:tabs>
          <w:tab w:val="clear" w:pos="170"/>
        </w:tabs>
        <w:rPr>
          <w:rFonts w:asciiTheme="minorHAnsi" w:hAnsiTheme="minorHAnsi"/>
        </w:rPr>
      </w:pPr>
      <w:r>
        <w:rPr>
          <w:rFonts w:asciiTheme="minorHAnsi" w:hAnsiTheme="minorHAnsi"/>
        </w:rPr>
        <w:t>In forming advice</w:t>
      </w:r>
      <w:r w:rsidR="004C1393">
        <w:rPr>
          <w:rFonts w:asciiTheme="minorHAnsi" w:hAnsiTheme="minorHAnsi"/>
        </w:rPr>
        <w:t xml:space="preserve"> in relation to 1)</w:t>
      </w:r>
      <w:r>
        <w:rPr>
          <w:rFonts w:asciiTheme="minorHAnsi" w:hAnsiTheme="minorHAnsi"/>
        </w:rPr>
        <w:t xml:space="preserve">, </w:t>
      </w:r>
      <w:r w:rsidR="00E936CE">
        <w:rPr>
          <w:rFonts w:asciiTheme="minorHAnsi" w:hAnsiTheme="minorHAnsi"/>
        </w:rPr>
        <w:t xml:space="preserve">Section 12 of the Act requires </w:t>
      </w:r>
      <w:r>
        <w:rPr>
          <w:rFonts w:asciiTheme="minorHAnsi" w:hAnsiTheme="minorHAnsi"/>
        </w:rPr>
        <w:t xml:space="preserve">the </w:t>
      </w:r>
      <w:r w:rsidR="004C1393">
        <w:rPr>
          <w:rFonts w:asciiTheme="minorHAnsi" w:hAnsiTheme="minorHAnsi"/>
        </w:rPr>
        <w:t xml:space="preserve">Panel </w:t>
      </w:r>
      <w:r w:rsidR="00E936CE">
        <w:rPr>
          <w:rFonts w:asciiTheme="minorHAnsi" w:hAnsiTheme="minorHAnsi"/>
        </w:rPr>
        <w:t>to</w:t>
      </w:r>
      <w:r>
        <w:rPr>
          <w:rFonts w:asciiTheme="minorHAnsi" w:hAnsiTheme="minorHAnsi"/>
        </w:rPr>
        <w:t xml:space="preserve"> consider the following:</w:t>
      </w:r>
    </w:p>
    <w:p w:rsidR="00A932F9" w:rsidRDefault="00E936CE" w:rsidP="004C1393">
      <w:pPr>
        <w:pStyle w:val="Bullet"/>
        <w:numPr>
          <w:ilvl w:val="0"/>
          <w:numId w:val="47"/>
        </w:numPr>
        <w:tabs>
          <w:tab w:val="clear" w:pos="170"/>
        </w:tabs>
        <w:rPr>
          <w:rFonts w:asciiTheme="minorHAnsi" w:hAnsiTheme="minorHAnsi"/>
        </w:rPr>
      </w:pPr>
      <w:r>
        <w:rPr>
          <w:rFonts w:asciiTheme="minorHAnsi" w:hAnsiTheme="minorHAnsi"/>
        </w:rPr>
        <w:t>Victoria’s legislated long-term target of</w:t>
      </w:r>
      <w:r w:rsidR="004C1393">
        <w:rPr>
          <w:rFonts w:asciiTheme="minorHAnsi" w:hAnsiTheme="minorHAnsi"/>
        </w:rPr>
        <w:t xml:space="preserve"> net zero emissions </w:t>
      </w:r>
      <w:r>
        <w:rPr>
          <w:rFonts w:asciiTheme="minorHAnsi" w:hAnsiTheme="minorHAnsi"/>
        </w:rPr>
        <w:t>by 2050</w:t>
      </w:r>
      <w:r w:rsidR="004C1393">
        <w:rPr>
          <w:rFonts w:asciiTheme="minorHAnsi" w:hAnsiTheme="minorHAnsi"/>
        </w:rPr>
        <w:t>.</w:t>
      </w:r>
    </w:p>
    <w:p w:rsidR="00A932F9" w:rsidRDefault="00A932F9" w:rsidP="004C1393">
      <w:pPr>
        <w:pStyle w:val="Bullet"/>
        <w:numPr>
          <w:ilvl w:val="0"/>
          <w:numId w:val="47"/>
        </w:numPr>
        <w:tabs>
          <w:tab w:val="clear" w:pos="170"/>
        </w:tabs>
        <w:rPr>
          <w:rFonts w:asciiTheme="minorHAnsi" w:hAnsiTheme="minorHAnsi"/>
        </w:rPr>
      </w:pPr>
      <w:r>
        <w:rPr>
          <w:rFonts w:asciiTheme="minorHAnsi" w:hAnsiTheme="minorHAnsi"/>
        </w:rPr>
        <w:t>Relevant up-to-date climate science</w:t>
      </w:r>
      <w:r w:rsidR="004C1393">
        <w:rPr>
          <w:rFonts w:asciiTheme="minorHAnsi" w:hAnsiTheme="minorHAnsi"/>
        </w:rPr>
        <w:t>.</w:t>
      </w:r>
    </w:p>
    <w:p w:rsidR="00A932F9" w:rsidRDefault="004C1393" w:rsidP="004C1393">
      <w:pPr>
        <w:pStyle w:val="Bullet"/>
        <w:numPr>
          <w:ilvl w:val="0"/>
          <w:numId w:val="47"/>
        </w:numPr>
        <w:tabs>
          <w:tab w:val="clear" w:pos="170"/>
        </w:tabs>
        <w:rPr>
          <w:rFonts w:asciiTheme="minorHAnsi" w:hAnsiTheme="minorHAnsi"/>
        </w:rPr>
      </w:pPr>
      <w:r>
        <w:rPr>
          <w:rFonts w:asciiTheme="minorHAnsi" w:hAnsiTheme="minorHAnsi"/>
        </w:rPr>
        <w:t>Technologies</w:t>
      </w:r>
      <w:r w:rsidR="00A932F9">
        <w:rPr>
          <w:rFonts w:asciiTheme="minorHAnsi" w:hAnsiTheme="minorHAnsi"/>
        </w:rPr>
        <w:t xml:space="preserve"> relevant to climate change</w:t>
      </w:r>
      <w:r>
        <w:rPr>
          <w:rFonts w:asciiTheme="minorHAnsi" w:hAnsiTheme="minorHAnsi"/>
        </w:rPr>
        <w:t>.</w:t>
      </w:r>
    </w:p>
    <w:p w:rsidR="00A932F9" w:rsidRDefault="00A932F9" w:rsidP="004C1393">
      <w:pPr>
        <w:pStyle w:val="Bullet"/>
        <w:numPr>
          <w:ilvl w:val="0"/>
          <w:numId w:val="47"/>
        </w:numPr>
        <w:tabs>
          <w:tab w:val="clear" w:pos="170"/>
        </w:tabs>
        <w:rPr>
          <w:rFonts w:asciiTheme="minorHAnsi" w:hAnsiTheme="minorHAnsi"/>
        </w:rPr>
      </w:pPr>
      <w:r>
        <w:rPr>
          <w:rFonts w:asciiTheme="minorHAnsi" w:hAnsiTheme="minorHAnsi"/>
        </w:rPr>
        <w:lastRenderedPageBreak/>
        <w:t>Economic circumstances</w:t>
      </w:r>
      <w:r w:rsidR="004C1393">
        <w:rPr>
          <w:rFonts w:asciiTheme="minorHAnsi" w:hAnsiTheme="minorHAnsi"/>
        </w:rPr>
        <w:t xml:space="preserve"> –</w:t>
      </w:r>
      <w:r>
        <w:rPr>
          <w:rFonts w:asciiTheme="minorHAnsi" w:hAnsiTheme="minorHAnsi"/>
        </w:rPr>
        <w:t xml:space="preserve"> </w:t>
      </w:r>
      <w:proofErr w:type="gramStart"/>
      <w:r>
        <w:rPr>
          <w:rFonts w:asciiTheme="minorHAnsi" w:hAnsiTheme="minorHAnsi"/>
        </w:rPr>
        <w:t>in particular the</w:t>
      </w:r>
      <w:proofErr w:type="gramEnd"/>
      <w:r>
        <w:rPr>
          <w:rFonts w:asciiTheme="minorHAnsi" w:hAnsiTheme="minorHAnsi"/>
        </w:rPr>
        <w:t xml:space="preserve"> likely impact of the </w:t>
      </w:r>
      <w:r w:rsidR="004C1393">
        <w:rPr>
          <w:rFonts w:asciiTheme="minorHAnsi" w:hAnsiTheme="minorHAnsi"/>
        </w:rPr>
        <w:t xml:space="preserve">interim </w:t>
      </w:r>
      <w:r>
        <w:rPr>
          <w:rFonts w:asciiTheme="minorHAnsi" w:hAnsiTheme="minorHAnsi"/>
        </w:rPr>
        <w:t>target</w:t>
      </w:r>
      <w:r w:rsidR="004C1393">
        <w:rPr>
          <w:rFonts w:asciiTheme="minorHAnsi" w:hAnsiTheme="minorHAnsi"/>
        </w:rPr>
        <w:t>s</w:t>
      </w:r>
      <w:r>
        <w:rPr>
          <w:rFonts w:asciiTheme="minorHAnsi" w:hAnsiTheme="minorHAnsi"/>
        </w:rPr>
        <w:t xml:space="preserve"> on the economy and the competitiveness of particular sectors of the economy</w:t>
      </w:r>
      <w:r w:rsidR="004C1393">
        <w:rPr>
          <w:rFonts w:asciiTheme="minorHAnsi" w:hAnsiTheme="minorHAnsi"/>
        </w:rPr>
        <w:t>.</w:t>
      </w:r>
    </w:p>
    <w:p w:rsidR="00A932F9" w:rsidRDefault="00A932F9" w:rsidP="004C1393">
      <w:pPr>
        <w:pStyle w:val="Bullet"/>
        <w:numPr>
          <w:ilvl w:val="0"/>
          <w:numId w:val="47"/>
        </w:numPr>
        <w:tabs>
          <w:tab w:val="clear" w:pos="170"/>
        </w:tabs>
        <w:rPr>
          <w:rFonts w:asciiTheme="minorHAnsi" w:hAnsiTheme="minorHAnsi"/>
        </w:rPr>
      </w:pPr>
      <w:r>
        <w:rPr>
          <w:rFonts w:asciiTheme="minorHAnsi" w:hAnsiTheme="minorHAnsi"/>
        </w:rPr>
        <w:t>Social circumstances</w:t>
      </w:r>
      <w:r w:rsidR="004C1393">
        <w:rPr>
          <w:rFonts w:asciiTheme="minorHAnsi" w:hAnsiTheme="minorHAnsi"/>
        </w:rPr>
        <w:t xml:space="preserve"> –</w:t>
      </w:r>
      <w:r>
        <w:rPr>
          <w:rFonts w:asciiTheme="minorHAnsi" w:hAnsiTheme="minorHAnsi"/>
        </w:rPr>
        <w:t xml:space="preserve"> </w:t>
      </w:r>
      <w:proofErr w:type="gramStart"/>
      <w:r>
        <w:rPr>
          <w:rFonts w:asciiTheme="minorHAnsi" w:hAnsiTheme="minorHAnsi"/>
        </w:rPr>
        <w:t>in particular the</w:t>
      </w:r>
      <w:proofErr w:type="gramEnd"/>
      <w:r>
        <w:rPr>
          <w:rFonts w:asciiTheme="minorHAnsi" w:hAnsiTheme="minorHAnsi"/>
        </w:rPr>
        <w:t xml:space="preserve"> likely impact of the</w:t>
      </w:r>
      <w:r w:rsidR="004C1393">
        <w:rPr>
          <w:rFonts w:asciiTheme="minorHAnsi" w:hAnsiTheme="minorHAnsi"/>
        </w:rPr>
        <w:t xml:space="preserve"> interim</w:t>
      </w:r>
      <w:r>
        <w:rPr>
          <w:rFonts w:asciiTheme="minorHAnsi" w:hAnsiTheme="minorHAnsi"/>
        </w:rPr>
        <w:t xml:space="preserve"> target</w:t>
      </w:r>
      <w:r w:rsidR="004C1393">
        <w:rPr>
          <w:rFonts w:asciiTheme="minorHAnsi" w:hAnsiTheme="minorHAnsi"/>
        </w:rPr>
        <w:t>s</w:t>
      </w:r>
      <w:r>
        <w:rPr>
          <w:rFonts w:asciiTheme="minorHAnsi" w:hAnsiTheme="minorHAnsi"/>
        </w:rPr>
        <w:t xml:space="preserve"> on the health and wellbeing of Victorians</w:t>
      </w:r>
      <w:r w:rsidR="004C1393">
        <w:rPr>
          <w:rFonts w:asciiTheme="minorHAnsi" w:hAnsiTheme="minorHAnsi"/>
        </w:rPr>
        <w:t>.</w:t>
      </w:r>
    </w:p>
    <w:p w:rsidR="00A932F9" w:rsidRDefault="00A932F9" w:rsidP="004C1393">
      <w:pPr>
        <w:pStyle w:val="Bullet"/>
        <w:numPr>
          <w:ilvl w:val="0"/>
          <w:numId w:val="47"/>
        </w:numPr>
        <w:tabs>
          <w:tab w:val="clear" w:pos="170"/>
        </w:tabs>
        <w:rPr>
          <w:rFonts w:asciiTheme="minorHAnsi" w:hAnsiTheme="minorHAnsi"/>
        </w:rPr>
      </w:pPr>
      <w:r>
        <w:rPr>
          <w:rFonts w:asciiTheme="minorHAnsi" w:hAnsiTheme="minorHAnsi"/>
        </w:rPr>
        <w:t>Environmental circumstances</w:t>
      </w:r>
      <w:r w:rsidR="004C1393">
        <w:rPr>
          <w:rFonts w:asciiTheme="minorHAnsi" w:hAnsiTheme="minorHAnsi"/>
        </w:rPr>
        <w:t xml:space="preserve"> –</w:t>
      </w:r>
      <w:r>
        <w:rPr>
          <w:rFonts w:asciiTheme="minorHAnsi" w:hAnsiTheme="minorHAnsi"/>
        </w:rPr>
        <w:t xml:space="preserve"> </w:t>
      </w:r>
      <w:proofErr w:type="gramStart"/>
      <w:r>
        <w:rPr>
          <w:rFonts w:asciiTheme="minorHAnsi" w:hAnsiTheme="minorHAnsi"/>
        </w:rPr>
        <w:t>in particular the</w:t>
      </w:r>
      <w:proofErr w:type="gramEnd"/>
      <w:r>
        <w:rPr>
          <w:rFonts w:asciiTheme="minorHAnsi" w:hAnsiTheme="minorHAnsi"/>
        </w:rPr>
        <w:t xml:space="preserve"> benefits to the environment of emissions reduction</w:t>
      </w:r>
      <w:r w:rsidR="004C1393">
        <w:rPr>
          <w:rFonts w:asciiTheme="minorHAnsi" w:hAnsiTheme="minorHAnsi"/>
        </w:rPr>
        <w:t>.</w:t>
      </w:r>
    </w:p>
    <w:p w:rsidR="00A932F9" w:rsidRDefault="00A932F9" w:rsidP="004C1393">
      <w:pPr>
        <w:pStyle w:val="Bullet"/>
        <w:numPr>
          <w:ilvl w:val="0"/>
          <w:numId w:val="47"/>
        </w:numPr>
        <w:tabs>
          <w:tab w:val="clear" w:pos="170"/>
        </w:tabs>
        <w:rPr>
          <w:rFonts w:asciiTheme="minorHAnsi" w:hAnsiTheme="minorHAnsi"/>
        </w:rPr>
      </w:pPr>
      <w:r>
        <w:rPr>
          <w:rFonts w:asciiTheme="minorHAnsi" w:hAnsiTheme="minorHAnsi"/>
        </w:rPr>
        <w:t>Existing national and global action on climate change, including any undertakings relating to the reduction of greenhouse gas emissions that Australia has given under international climate change agreements</w:t>
      </w:r>
      <w:r w:rsidR="004C1393">
        <w:rPr>
          <w:rFonts w:asciiTheme="minorHAnsi" w:hAnsiTheme="minorHAnsi"/>
        </w:rPr>
        <w:t>.</w:t>
      </w:r>
    </w:p>
    <w:p w:rsidR="00A932F9" w:rsidRDefault="004C1393" w:rsidP="004C1393">
      <w:pPr>
        <w:pStyle w:val="Bullet"/>
        <w:numPr>
          <w:ilvl w:val="0"/>
          <w:numId w:val="47"/>
        </w:numPr>
        <w:tabs>
          <w:tab w:val="clear" w:pos="170"/>
        </w:tabs>
        <w:rPr>
          <w:rFonts w:asciiTheme="minorHAnsi" w:hAnsiTheme="minorHAnsi"/>
        </w:rPr>
      </w:pPr>
      <w:r>
        <w:rPr>
          <w:rFonts w:asciiTheme="minorHAnsi" w:hAnsiTheme="minorHAnsi"/>
        </w:rPr>
        <w:t>P</w:t>
      </w:r>
      <w:r w:rsidR="00A932F9">
        <w:rPr>
          <w:rFonts w:asciiTheme="minorHAnsi" w:hAnsiTheme="minorHAnsi"/>
        </w:rPr>
        <w:t>rogress</w:t>
      </w:r>
      <w:r>
        <w:rPr>
          <w:rFonts w:asciiTheme="minorHAnsi" w:hAnsiTheme="minorHAnsi"/>
        </w:rPr>
        <w:t xml:space="preserve"> to date</w:t>
      </w:r>
      <w:r w:rsidR="00A932F9">
        <w:rPr>
          <w:rFonts w:asciiTheme="minorHAnsi" w:hAnsiTheme="minorHAnsi"/>
        </w:rPr>
        <w:t xml:space="preserve"> towards the reduction of greenhouse gas emissions</w:t>
      </w:r>
      <w:r w:rsidR="00241AC0">
        <w:rPr>
          <w:rFonts w:asciiTheme="minorHAnsi" w:hAnsiTheme="minorHAnsi"/>
        </w:rPr>
        <w:t xml:space="preserve"> in Victoria. This includes the government’s 2020 emissions reduction target and</w:t>
      </w:r>
      <w:r>
        <w:rPr>
          <w:rFonts w:asciiTheme="minorHAnsi" w:hAnsiTheme="minorHAnsi"/>
        </w:rPr>
        <w:t xml:space="preserve"> trends in emissions reflected in </w:t>
      </w:r>
      <w:r w:rsidR="00A932F9">
        <w:rPr>
          <w:rFonts w:asciiTheme="minorHAnsi" w:hAnsiTheme="minorHAnsi"/>
        </w:rPr>
        <w:t>annual greenhouse gas emissions</w:t>
      </w:r>
      <w:r w:rsidR="00BA0612">
        <w:rPr>
          <w:rFonts w:asciiTheme="minorHAnsi" w:hAnsiTheme="minorHAnsi"/>
        </w:rPr>
        <w:t xml:space="preserve"> reports such as State Greenhouse Gas</w:t>
      </w:r>
      <w:r w:rsidR="00A932F9">
        <w:rPr>
          <w:rFonts w:asciiTheme="minorHAnsi" w:hAnsiTheme="minorHAnsi"/>
        </w:rPr>
        <w:t xml:space="preserve"> </w:t>
      </w:r>
      <w:r w:rsidR="00BA0612">
        <w:rPr>
          <w:rFonts w:asciiTheme="minorHAnsi" w:hAnsiTheme="minorHAnsi"/>
        </w:rPr>
        <w:t>I</w:t>
      </w:r>
      <w:r>
        <w:rPr>
          <w:rFonts w:asciiTheme="minorHAnsi" w:hAnsiTheme="minorHAnsi"/>
        </w:rPr>
        <w:t>nventories while recognising the lags inherent in inventory data.</w:t>
      </w:r>
    </w:p>
    <w:p w:rsidR="000E0DB9" w:rsidRDefault="000E0DB9" w:rsidP="004C1393">
      <w:pPr>
        <w:pStyle w:val="Bullet"/>
        <w:numPr>
          <w:ilvl w:val="0"/>
          <w:numId w:val="47"/>
        </w:numPr>
        <w:tabs>
          <w:tab w:val="clear" w:pos="170"/>
        </w:tabs>
        <w:rPr>
          <w:rFonts w:asciiTheme="minorHAnsi" w:hAnsiTheme="minorHAnsi"/>
        </w:rPr>
      </w:pPr>
      <w:r>
        <w:rPr>
          <w:rFonts w:asciiTheme="minorHAnsi" w:hAnsiTheme="minorHAnsi"/>
        </w:rPr>
        <w:t xml:space="preserve">The policy objectives </w:t>
      </w:r>
      <w:r w:rsidR="00E936CE">
        <w:rPr>
          <w:rFonts w:asciiTheme="minorHAnsi" w:hAnsiTheme="minorHAnsi"/>
        </w:rPr>
        <w:t>of the Act, as laid out in Section 22 of the Act. These are:</w:t>
      </w:r>
    </w:p>
    <w:p w:rsidR="00E936CE" w:rsidRDefault="00E936CE" w:rsidP="00E936CE">
      <w:pPr>
        <w:pStyle w:val="Bullet"/>
        <w:numPr>
          <w:ilvl w:val="1"/>
          <w:numId w:val="47"/>
        </w:numPr>
        <w:tabs>
          <w:tab w:val="clear" w:pos="170"/>
        </w:tabs>
        <w:rPr>
          <w:rFonts w:asciiTheme="minorHAnsi" w:hAnsiTheme="minorHAnsi"/>
        </w:rPr>
      </w:pPr>
      <w:r>
        <w:rPr>
          <w:rFonts w:asciiTheme="minorHAnsi" w:hAnsiTheme="minorHAnsi"/>
        </w:rPr>
        <w:t>To reduce the State’s greenhouse gas emissions consistent with the long term and interim emissions reduction targets;</w:t>
      </w:r>
    </w:p>
    <w:p w:rsidR="00E936CE" w:rsidRDefault="00E936CE" w:rsidP="00E936CE">
      <w:pPr>
        <w:pStyle w:val="Bullet"/>
        <w:numPr>
          <w:ilvl w:val="1"/>
          <w:numId w:val="47"/>
        </w:numPr>
        <w:tabs>
          <w:tab w:val="clear" w:pos="170"/>
        </w:tabs>
        <w:rPr>
          <w:rFonts w:asciiTheme="minorHAnsi" w:hAnsiTheme="minorHAnsi"/>
        </w:rPr>
      </w:pPr>
      <w:r>
        <w:rPr>
          <w:rFonts w:asciiTheme="minorHAnsi" w:hAnsiTheme="minorHAnsi"/>
        </w:rPr>
        <w:t>To build the resilience of the State’s infrastructure, built environment and communities through effective adaptation and disaster preparedness action;</w:t>
      </w:r>
    </w:p>
    <w:p w:rsidR="00E936CE" w:rsidRDefault="00E936CE" w:rsidP="00E936CE">
      <w:pPr>
        <w:pStyle w:val="Bullet"/>
        <w:numPr>
          <w:ilvl w:val="1"/>
          <w:numId w:val="47"/>
        </w:numPr>
        <w:tabs>
          <w:tab w:val="clear" w:pos="170"/>
        </w:tabs>
        <w:rPr>
          <w:rFonts w:asciiTheme="minorHAnsi" w:hAnsiTheme="minorHAnsi"/>
        </w:rPr>
      </w:pPr>
      <w:r>
        <w:rPr>
          <w:rFonts w:asciiTheme="minorHAnsi" w:hAnsiTheme="minorHAnsi"/>
        </w:rPr>
        <w:t>To manage the State’s natural resources, ecosystems and biodiversity to promote their resilience;</w:t>
      </w:r>
    </w:p>
    <w:p w:rsidR="00E936CE" w:rsidRDefault="00E936CE" w:rsidP="00E936CE">
      <w:pPr>
        <w:pStyle w:val="Bullet"/>
        <w:numPr>
          <w:ilvl w:val="1"/>
          <w:numId w:val="47"/>
        </w:numPr>
        <w:tabs>
          <w:tab w:val="clear" w:pos="170"/>
        </w:tabs>
        <w:rPr>
          <w:rFonts w:asciiTheme="minorHAnsi" w:hAnsiTheme="minorHAnsi"/>
        </w:rPr>
      </w:pPr>
      <w:r>
        <w:rPr>
          <w:rFonts w:asciiTheme="minorHAnsi" w:hAnsiTheme="minorHAnsi"/>
        </w:rPr>
        <w:t>To promote and support the State’s regions, industries and communities to adjust to the changes involved in the transition to a net zero greenhouse gas emissions economy, including capturing new opportunities and addressing any impacts arising from the need to reduce greenhouse gas emissions across the economy;</w:t>
      </w:r>
    </w:p>
    <w:p w:rsidR="00E936CE" w:rsidRDefault="00E936CE" w:rsidP="00E936CE">
      <w:pPr>
        <w:pStyle w:val="Bullet"/>
        <w:numPr>
          <w:ilvl w:val="1"/>
          <w:numId w:val="47"/>
        </w:numPr>
        <w:tabs>
          <w:tab w:val="clear" w:pos="170"/>
        </w:tabs>
        <w:rPr>
          <w:rFonts w:asciiTheme="minorHAnsi" w:hAnsiTheme="minorHAnsi"/>
        </w:rPr>
      </w:pPr>
      <w:r>
        <w:rPr>
          <w:rFonts w:asciiTheme="minorHAnsi" w:hAnsiTheme="minorHAnsi"/>
        </w:rPr>
        <w:t>To support vulnerable communities and promote social justice and intergenerational equity.</w:t>
      </w:r>
    </w:p>
    <w:p w:rsidR="00E936CE" w:rsidRDefault="00E936CE" w:rsidP="004C1393">
      <w:pPr>
        <w:pStyle w:val="Bullet"/>
        <w:numPr>
          <w:ilvl w:val="0"/>
          <w:numId w:val="47"/>
        </w:numPr>
        <w:tabs>
          <w:tab w:val="clear" w:pos="170"/>
        </w:tabs>
        <w:rPr>
          <w:rFonts w:asciiTheme="minorHAnsi" w:hAnsiTheme="minorHAnsi"/>
        </w:rPr>
      </w:pPr>
      <w:r>
        <w:rPr>
          <w:rFonts w:asciiTheme="minorHAnsi" w:hAnsiTheme="minorHAnsi"/>
        </w:rPr>
        <w:t>The guiding principles of the Act, as laid out in Sections 23 to 28 of the Act.</w:t>
      </w:r>
      <w:r w:rsidR="00CD6944">
        <w:rPr>
          <w:rFonts w:asciiTheme="minorHAnsi" w:hAnsiTheme="minorHAnsi"/>
        </w:rPr>
        <w:t xml:space="preserve"> These are:</w:t>
      </w:r>
    </w:p>
    <w:p w:rsidR="00CD6944" w:rsidRDefault="00CD6944" w:rsidP="00CD6944">
      <w:pPr>
        <w:pStyle w:val="Bullet"/>
        <w:numPr>
          <w:ilvl w:val="1"/>
          <w:numId w:val="47"/>
        </w:numPr>
        <w:tabs>
          <w:tab w:val="clear" w:pos="170"/>
        </w:tabs>
        <w:rPr>
          <w:rFonts w:asciiTheme="minorHAnsi" w:hAnsiTheme="minorHAnsi"/>
        </w:rPr>
      </w:pPr>
      <w:r>
        <w:rPr>
          <w:rFonts w:asciiTheme="minorHAnsi" w:hAnsiTheme="minorHAnsi"/>
        </w:rPr>
        <w:t>Informed decision making;</w:t>
      </w:r>
    </w:p>
    <w:p w:rsidR="00CD6944" w:rsidRDefault="00CD6944" w:rsidP="00CD6944">
      <w:pPr>
        <w:pStyle w:val="Bullet"/>
        <w:numPr>
          <w:ilvl w:val="1"/>
          <w:numId w:val="47"/>
        </w:numPr>
        <w:tabs>
          <w:tab w:val="clear" w:pos="170"/>
        </w:tabs>
        <w:rPr>
          <w:rFonts w:asciiTheme="minorHAnsi" w:hAnsiTheme="minorHAnsi"/>
        </w:rPr>
      </w:pPr>
      <w:r>
        <w:rPr>
          <w:rFonts w:asciiTheme="minorHAnsi" w:hAnsiTheme="minorHAnsi"/>
        </w:rPr>
        <w:t>Integrated decision making;</w:t>
      </w:r>
    </w:p>
    <w:p w:rsidR="00CD6944" w:rsidRDefault="00CD6944" w:rsidP="00CD6944">
      <w:pPr>
        <w:pStyle w:val="Bullet"/>
        <w:numPr>
          <w:ilvl w:val="1"/>
          <w:numId w:val="47"/>
        </w:numPr>
        <w:tabs>
          <w:tab w:val="clear" w:pos="170"/>
        </w:tabs>
        <w:rPr>
          <w:rFonts w:asciiTheme="minorHAnsi" w:hAnsiTheme="minorHAnsi"/>
        </w:rPr>
      </w:pPr>
      <w:r>
        <w:rPr>
          <w:rFonts w:asciiTheme="minorHAnsi" w:hAnsiTheme="minorHAnsi"/>
        </w:rPr>
        <w:t>Risk management;</w:t>
      </w:r>
    </w:p>
    <w:p w:rsidR="00CD6944" w:rsidRDefault="00CD6944" w:rsidP="00CD6944">
      <w:pPr>
        <w:pStyle w:val="Bullet"/>
        <w:numPr>
          <w:ilvl w:val="1"/>
          <w:numId w:val="47"/>
        </w:numPr>
        <w:tabs>
          <w:tab w:val="clear" w:pos="170"/>
        </w:tabs>
        <w:rPr>
          <w:rFonts w:asciiTheme="minorHAnsi" w:hAnsiTheme="minorHAnsi"/>
        </w:rPr>
      </w:pPr>
      <w:r>
        <w:rPr>
          <w:rFonts w:asciiTheme="minorHAnsi" w:hAnsiTheme="minorHAnsi"/>
        </w:rPr>
        <w:t>Equity;</w:t>
      </w:r>
    </w:p>
    <w:p w:rsidR="00CD6944" w:rsidRDefault="00CD6944" w:rsidP="00CD6944">
      <w:pPr>
        <w:pStyle w:val="Bullet"/>
        <w:numPr>
          <w:ilvl w:val="1"/>
          <w:numId w:val="47"/>
        </w:numPr>
        <w:tabs>
          <w:tab w:val="clear" w:pos="170"/>
        </w:tabs>
        <w:rPr>
          <w:rFonts w:asciiTheme="minorHAnsi" w:hAnsiTheme="minorHAnsi"/>
        </w:rPr>
      </w:pPr>
      <w:r>
        <w:rPr>
          <w:rFonts w:asciiTheme="minorHAnsi" w:hAnsiTheme="minorHAnsi"/>
        </w:rPr>
        <w:t>Community engagement;</w:t>
      </w:r>
    </w:p>
    <w:p w:rsidR="00CD6944" w:rsidRDefault="00CD6944" w:rsidP="00CD6944">
      <w:pPr>
        <w:pStyle w:val="Bullet"/>
        <w:numPr>
          <w:ilvl w:val="1"/>
          <w:numId w:val="47"/>
        </w:numPr>
        <w:tabs>
          <w:tab w:val="clear" w:pos="170"/>
        </w:tabs>
        <w:rPr>
          <w:rFonts w:asciiTheme="minorHAnsi" w:hAnsiTheme="minorHAnsi"/>
        </w:rPr>
      </w:pPr>
      <w:r>
        <w:rPr>
          <w:rFonts w:asciiTheme="minorHAnsi" w:hAnsiTheme="minorHAnsi"/>
        </w:rPr>
        <w:t>Compatibility.</w:t>
      </w:r>
    </w:p>
    <w:p w:rsidR="002C595D" w:rsidRPr="00F328B4" w:rsidRDefault="00DC4E05" w:rsidP="00F328B4">
      <w:pPr>
        <w:pStyle w:val="Heading1"/>
        <w:numPr>
          <w:ilvl w:val="0"/>
          <w:numId w:val="15"/>
        </w:numPr>
        <w:spacing w:before="0" w:after="120"/>
        <w:ind w:left="426" w:hanging="426"/>
        <w:rPr>
          <w:rFonts w:asciiTheme="minorHAnsi" w:hAnsiTheme="minorHAnsi"/>
          <w:kern w:val="0"/>
          <w:sz w:val="22"/>
        </w:rPr>
      </w:pPr>
      <w:r w:rsidRPr="00F328B4">
        <w:rPr>
          <w:rFonts w:asciiTheme="minorHAnsi" w:hAnsiTheme="minorHAnsi"/>
          <w:kern w:val="0"/>
          <w:sz w:val="22"/>
        </w:rPr>
        <w:t>Process</w:t>
      </w:r>
    </w:p>
    <w:p w:rsidR="00885E1A" w:rsidRPr="00406418" w:rsidRDefault="00A35F9B" w:rsidP="00406418">
      <w:pPr>
        <w:pStyle w:val="Body"/>
        <w:rPr>
          <w:rFonts w:asciiTheme="minorHAnsi" w:hAnsiTheme="minorHAnsi"/>
        </w:rPr>
      </w:pPr>
      <w:r>
        <w:rPr>
          <w:rFonts w:asciiTheme="minorHAnsi" w:hAnsiTheme="minorHAnsi"/>
        </w:rPr>
        <w:t>In formulating its a</w:t>
      </w:r>
      <w:r w:rsidR="00406418">
        <w:rPr>
          <w:rFonts w:asciiTheme="minorHAnsi" w:hAnsiTheme="minorHAnsi"/>
        </w:rPr>
        <w:t xml:space="preserve">dvice, the Panel </w:t>
      </w:r>
      <w:r w:rsidR="00F92F9D">
        <w:rPr>
          <w:rFonts w:asciiTheme="minorHAnsi" w:hAnsiTheme="minorHAnsi"/>
        </w:rPr>
        <w:t xml:space="preserve">may </w:t>
      </w:r>
      <w:r w:rsidR="00154945">
        <w:rPr>
          <w:rFonts w:asciiTheme="minorHAnsi" w:hAnsiTheme="minorHAnsi"/>
        </w:rPr>
        <w:t>obtain</w:t>
      </w:r>
      <w:r>
        <w:rPr>
          <w:rFonts w:asciiTheme="minorHAnsi" w:hAnsiTheme="minorHAnsi"/>
        </w:rPr>
        <w:t xml:space="preserve"> </w:t>
      </w:r>
      <w:r w:rsidR="00885E1A">
        <w:rPr>
          <w:rFonts w:asciiTheme="minorHAnsi" w:hAnsiTheme="minorHAnsi"/>
        </w:rPr>
        <w:t xml:space="preserve">specialist technical advice regarding the considerations listed under </w:t>
      </w:r>
      <w:r w:rsidR="00CD6944">
        <w:rPr>
          <w:rFonts w:asciiTheme="minorHAnsi" w:hAnsiTheme="minorHAnsi"/>
        </w:rPr>
        <w:t>Section 2(</w:t>
      </w:r>
      <w:r w:rsidR="00885E1A">
        <w:rPr>
          <w:rFonts w:asciiTheme="minorHAnsi" w:hAnsiTheme="minorHAnsi"/>
        </w:rPr>
        <w:t xml:space="preserve">2) </w:t>
      </w:r>
      <w:r w:rsidR="00CD6944">
        <w:rPr>
          <w:rFonts w:asciiTheme="minorHAnsi" w:hAnsiTheme="minorHAnsi"/>
        </w:rPr>
        <w:t>of this Terms of Reference</w:t>
      </w:r>
      <w:r w:rsidR="00406418">
        <w:rPr>
          <w:rFonts w:asciiTheme="minorHAnsi" w:hAnsiTheme="minorHAnsi"/>
        </w:rPr>
        <w:t>.</w:t>
      </w:r>
    </w:p>
    <w:p w:rsidR="00CD6944" w:rsidRPr="000E0DB9" w:rsidRDefault="002E3E9B" w:rsidP="00406418">
      <w:pPr>
        <w:pStyle w:val="Body"/>
        <w:rPr>
          <w:rFonts w:asciiTheme="minorHAnsi" w:hAnsiTheme="minorHAnsi"/>
        </w:rPr>
      </w:pPr>
      <w:r>
        <w:rPr>
          <w:rFonts w:asciiTheme="minorHAnsi" w:hAnsiTheme="minorHAnsi"/>
        </w:rPr>
        <w:t xml:space="preserve">DELWP will </w:t>
      </w:r>
      <w:r w:rsidR="00E16CF6">
        <w:rPr>
          <w:rFonts w:asciiTheme="minorHAnsi" w:hAnsiTheme="minorHAnsi"/>
        </w:rPr>
        <w:t xml:space="preserve">work with the Panel to </w:t>
      </w:r>
      <w:r w:rsidR="00E00696">
        <w:rPr>
          <w:rFonts w:asciiTheme="minorHAnsi" w:hAnsiTheme="minorHAnsi"/>
        </w:rPr>
        <w:t>design and implement</w:t>
      </w:r>
      <w:r>
        <w:rPr>
          <w:rFonts w:asciiTheme="minorHAnsi" w:hAnsiTheme="minorHAnsi"/>
        </w:rPr>
        <w:t xml:space="preserve"> public consultation, with the objective of informing the Panel in developing</w:t>
      </w:r>
      <w:r w:rsidR="008352A4">
        <w:rPr>
          <w:rFonts w:asciiTheme="minorHAnsi" w:hAnsiTheme="minorHAnsi"/>
        </w:rPr>
        <w:t xml:space="preserve"> its advice on interim targets.</w:t>
      </w:r>
    </w:p>
    <w:p w:rsidR="00A35F9B" w:rsidRPr="00F328B4" w:rsidRDefault="00A35F9B" w:rsidP="00885E1A">
      <w:pPr>
        <w:pStyle w:val="Body"/>
        <w:rPr>
          <w:rFonts w:asciiTheme="minorHAnsi" w:hAnsiTheme="minorHAnsi"/>
        </w:rPr>
      </w:pPr>
      <w:r>
        <w:rPr>
          <w:rFonts w:asciiTheme="minorHAnsi" w:hAnsiTheme="minorHAnsi"/>
        </w:rPr>
        <w:t>The Panel will be supported by a Secretariat</w:t>
      </w:r>
      <w:r w:rsidR="000F44AF">
        <w:rPr>
          <w:rFonts w:asciiTheme="minorHAnsi" w:hAnsiTheme="minorHAnsi"/>
        </w:rPr>
        <w:t xml:space="preserve"> provided by </w:t>
      </w:r>
      <w:r w:rsidR="003455F4">
        <w:rPr>
          <w:rFonts w:asciiTheme="minorHAnsi" w:hAnsiTheme="minorHAnsi"/>
        </w:rPr>
        <w:t>the Department of Environment Land Water and Planning (</w:t>
      </w:r>
      <w:r w:rsidR="000F44AF">
        <w:rPr>
          <w:rFonts w:asciiTheme="minorHAnsi" w:hAnsiTheme="minorHAnsi"/>
        </w:rPr>
        <w:t>DELWP</w:t>
      </w:r>
      <w:r w:rsidR="003455F4">
        <w:rPr>
          <w:rFonts w:asciiTheme="minorHAnsi" w:hAnsiTheme="minorHAnsi"/>
        </w:rPr>
        <w:t>)</w:t>
      </w:r>
      <w:r>
        <w:rPr>
          <w:rFonts w:asciiTheme="minorHAnsi" w:hAnsiTheme="minorHAnsi"/>
        </w:rPr>
        <w:t>.</w:t>
      </w:r>
    </w:p>
    <w:p w:rsidR="00DC4E05" w:rsidRPr="00F328B4" w:rsidRDefault="00885E1A" w:rsidP="00F328B4">
      <w:pPr>
        <w:pStyle w:val="Heading1"/>
        <w:numPr>
          <w:ilvl w:val="0"/>
          <w:numId w:val="15"/>
        </w:numPr>
        <w:spacing w:before="0" w:after="120"/>
        <w:ind w:left="426" w:hanging="426"/>
        <w:rPr>
          <w:rFonts w:asciiTheme="minorHAnsi" w:hAnsiTheme="minorHAnsi"/>
          <w:kern w:val="0"/>
          <w:sz w:val="22"/>
        </w:rPr>
      </w:pPr>
      <w:r>
        <w:rPr>
          <w:rFonts w:asciiTheme="minorHAnsi" w:hAnsiTheme="minorHAnsi"/>
          <w:kern w:val="0"/>
          <w:sz w:val="22"/>
        </w:rPr>
        <w:lastRenderedPageBreak/>
        <w:t>Outputs and timetable</w:t>
      </w:r>
    </w:p>
    <w:p w:rsidR="00F328B4" w:rsidRDefault="00F328B4" w:rsidP="00DC4E05">
      <w:pPr>
        <w:pStyle w:val="Body"/>
        <w:rPr>
          <w:rFonts w:asciiTheme="minorHAnsi" w:hAnsiTheme="minorHAnsi"/>
          <w:color w:val="333333"/>
          <w:shd w:val="clear" w:color="auto" w:fill="FFFFFF"/>
        </w:rPr>
      </w:pPr>
      <w:r>
        <w:rPr>
          <w:rFonts w:asciiTheme="minorHAnsi" w:hAnsiTheme="minorHAnsi"/>
          <w:color w:val="333333"/>
          <w:shd w:val="clear" w:color="auto" w:fill="FFFFFF"/>
        </w:rPr>
        <w:t xml:space="preserve">The </w:t>
      </w:r>
      <w:r w:rsidR="00BA0612">
        <w:rPr>
          <w:rFonts w:asciiTheme="minorHAnsi" w:hAnsiTheme="minorHAnsi"/>
          <w:color w:val="333333"/>
          <w:shd w:val="clear" w:color="auto" w:fill="FFFFFF"/>
        </w:rPr>
        <w:t>Panel</w:t>
      </w:r>
      <w:r w:rsidR="00DC4E05" w:rsidRPr="0006228B">
        <w:rPr>
          <w:rFonts w:asciiTheme="minorHAnsi" w:hAnsiTheme="minorHAnsi"/>
          <w:color w:val="333333"/>
          <w:shd w:val="clear" w:color="auto" w:fill="FFFFFF"/>
        </w:rPr>
        <w:t xml:space="preserve"> </w:t>
      </w:r>
      <w:r w:rsidR="00BA0612" w:rsidRPr="0006228B">
        <w:rPr>
          <w:rFonts w:asciiTheme="minorHAnsi" w:hAnsiTheme="minorHAnsi"/>
          <w:color w:val="333333"/>
          <w:shd w:val="clear" w:color="auto" w:fill="FFFFFF"/>
        </w:rPr>
        <w:t xml:space="preserve">will </w:t>
      </w:r>
      <w:r w:rsidR="00BA0612">
        <w:rPr>
          <w:rFonts w:asciiTheme="minorHAnsi" w:hAnsiTheme="minorHAnsi"/>
          <w:color w:val="333333"/>
          <w:shd w:val="clear" w:color="auto" w:fill="FFFFFF"/>
        </w:rPr>
        <w:t>submit</w:t>
      </w:r>
      <w:r w:rsidR="00BA0612" w:rsidRPr="0006228B">
        <w:rPr>
          <w:rFonts w:asciiTheme="minorHAnsi" w:hAnsiTheme="minorHAnsi"/>
          <w:color w:val="333333"/>
          <w:shd w:val="clear" w:color="auto" w:fill="FFFFFF"/>
        </w:rPr>
        <w:t xml:space="preserve"> </w:t>
      </w:r>
      <w:r w:rsidR="00BA0612">
        <w:rPr>
          <w:rFonts w:asciiTheme="minorHAnsi" w:hAnsiTheme="minorHAnsi"/>
          <w:color w:val="333333"/>
          <w:shd w:val="clear" w:color="auto" w:fill="FFFFFF"/>
        </w:rPr>
        <w:t xml:space="preserve">a </w:t>
      </w:r>
      <w:r w:rsidR="00290235">
        <w:rPr>
          <w:rFonts w:asciiTheme="minorHAnsi" w:hAnsiTheme="minorHAnsi"/>
          <w:color w:val="333333"/>
          <w:shd w:val="clear" w:color="auto" w:fill="FFFFFF"/>
        </w:rPr>
        <w:t>final</w:t>
      </w:r>
      <w:r w:rsidR="00031E2B">
        <w:rPr>
          <w:rFonts w:asciiTheme="minorHAnsi" w:hAnsiTheme="minorHAnsi"/>
          <w:color w:val="333333"/>
          <w:shd w:val="clear" w:color="auto" w:fill="FFFFFF"/>
        </w:rPr>
        <w:t xml:space="preserve"> r</w:t>
      </w:r>
      <w:r w:rsidR="00BA0612">
        <w:rPr>
          <w:rFonts w:asciiTheme="minorHAnsi" w:hAnsiTheme="minorHAnsi"/>
          <w:color w:val="333333"/>
          <w:shd w:val="clear" w:color="auto" w:fill="FFFFFF"/>
        </w:rPr>
        <w:t xml:space="preserve">eport </w:t>
      </w:r>
      <w:r w:rsidR="00902622">
        <w:rPr>
          <w:rFonts w:asciiTheme="minorHAnsi" w:hAnsiTheme="minorHAnsi"/>
          <w:color w:val="333333"/>
          <w:shd w:val="clear" w:color="auto" w:fill="FFFFFF"/>
        </w:rPr>
        <w:t xml:space="preserve">to the Minister </w:t>
      </w:r>
      <w:r w:rsidR="00BA0612">
        <w:rPr>
          <w:rFonts w:asciiTheme="minorHAnsi" w:hAnsiTheme="minorHAnsi"/>
          <w:color w:val="333333"/>
          <w:shd w:val="clear" w:color="auto" w:fill="FFFFFF"/>
        </w:rPr>
        <w:t xml:space="preserve">providing advice on the matters listed under </w:t>
      </w:r>
      <w:r w:rsidR="00CD6944">
        <w:rPr>
          <w:rFonts w:asciiTheme="minorHAnsi" w:hAnsiTheme="minorHAnsi"/>
          <w:color w:val="333333"/>
          <w:shd w:val="clear" w:color="auto" w:fill="FFFFFF"/>
        </w:rPr>
        <w:t>Section 2(1) of this Terms of Reference</w:t>
      </w:r>
      <w:r w:rsidR="00DC4E05" w:rsidRPr="0006228B">
        <w:rPr>
          <w:rFonts w:asciiTheme="minorHAnsi" w:hAnsiTheme="minorHAnsi"/>
          <w:color w:val="333333"/>
          <w:shd w:val="clear" w:color="auto" w:fill="FFFFFF"/>
        </w:rPr>
        <w:t xml:space="preserve"> </w:t>
      </w:r>
      <w:r w:rsidR="005410C9">
        <w:rPr>
          <w:rFonts w:asciiTheme="minorHAnsi" w:hAnsiTheme="minorHAnsi"/>
          <w:color w:val="333333"/>
          <w:shd w:val="clear" w:color="auto" w:fill="FFFFFF"/>
        </w:rPr>
        <w:t xml:space="preserve">by </w:t>
      </w:r>
      <w:r w:rsidR="00D97476">
        <w:rPr>
          <w:rFonts w:asciiTheme="minorHAnsi" w:hAnsiTheme="minorHAnsi"/>
          <w:color w:val="333333"/>
          <w:shd w:val="clear" w:color="auto" w:fill="FFFFFF"/>
        </w:rPr>
        <w:t>29 March</w:t>
      </w:r>
      <w:r w:rsidR="00EF25B5">
        <w:rPr>
          <w:rFonts w:asciiTheme="minorHAnsi" w:hAnsiTheme="minorHAnsi"/>
          <w:color w:val="333333"/>
          <w:shd w:val="clear" w:color="auto" w:fill="FFFFFF"/>
        </w:rPr>
        <w:t xml:space="preserve"> 2019</w:t>
      </w:r>
      <w:r w:rsidR="00290235">
        <w:rPr>
          <w:rFonts w:asciiTheme="minorHAnsi" w:hAnsiTheme="minorHAnsi"/>
          <w:color w:val="333333"/>
          <w:shd w:val="clear" w:color="auto" w:fill="FFFFFF"/>
        </w:rPr>
        <w:t>.</w:t>
      </w:r>
    </w:p>
    <w:p w:rsidR="00DC4E05" w:rsidRDefault="0006228B" w:rsidP="00DC4E05">
      <w:pPr>
        <w:pStyle w:val="Body"/>
        <w:rPr>
          <w:rFonts w:asciiTheme="minorHAnsi" w:hAnsiTheme="minorHAnsi"/>
          <w:color w:val="333333"/>
          <w:shd w:val="clear" w:color="auto" w:fill="FFFFFF"/>
        </w:rPr>
      </w:pPr>
      <w:r w:rsidRPr="0006228B">
        <w:rPr>
          <w:rFonts w:asciiTheme="minorHAnsi" w:hAnsiTheme="minorHAnsi"/>
          <w:color w:val="333333"/>
          <w:shd w:val="clear" w:color="auto" w:fill="FFFFFF"/>
        </w:rPr>
        <w:t>The f</w:t>
      </w:r>
      <w:r w:rsidR="00DC4E05" w:rsidRPr="0006228B">
        <w:rPr>
          <w:rFonts w:asciiTheme="minorHAnsi" w:hAnsiTheme="minorHAnsi"/>
          <w:color w:val="333333"/>
          <w:shd w:val="clear" w:color="auto" w:fill="FFFFFF"/>
        </w:rPr>
        <w:t xml:space="preserve">inal report and recommendations will be </w:t>
      </w:r>
      <w:r w:rsidRPr="0006228B">
        <w:rPr>
          <w:rFonts w:asciiTheme="minorHAnsi" w:hAnsiTheme="minorHAnsi"/>
          <w:color w:val="333333"/>
          <w:shd w:val="clear" w:color="auto" w:fill="FFFFFF"/>
        </w:rPr>
        <w:t xml:space="preserve">tabled in Parliament </w:t>
      </w:r>
      <w:r w:rsidR="00701936">
        <w:rPr>
          <w:rFonts w:asciiTheme="minorHAnsi" w:hAnsiTheme="minorHAnsi"/>
          <w:color w:val="333333"/>
          <w:shd w:val="clear" w:color="auto" w:fill="FFFFFF"/>
        </w:rPr>
        <w:t xml:space="preserve">and </w:t>
      </w:r>
      <w:r w:rsidR="00DC4E05" w:rsidRPr="0006228B">
        <w:rPr>
          <w:rFonts w:asciiTheme="minorHAnsi" w:hAnsiTheme="minorHAnsi"/>
          <w:color w:val="333333"/>
          <w:shd w:val="clear" w:color="auto" w:fill="FFFFFF"/>
        </w:rPr>
        <w:t>made publicly available</w:t>
      </w:r>
      <w:r w:rsidRPr="0006228B">
        <w:rPr>
          <w:rFonts w:asciiTheme="minorHAnsi" w:hAnsiTheme="minorHAnsi"/>
          <w:color w:val="333333"/>
          <w:shd w:val="clear" w:color="auto" w:fill="FFFFFF"/>
        </w:rPr>
        <w:t xml:space="preserve"> </w:t>
      </w:r>
      <w:r w:rsidR="00BA0612">
        <w:rPr>
          <w:rFonts w:asciiTheme="minorHAnsi" w:hAnsiTheme="minorHAnsi"/>
          <w:color w:val="333333"/>
          <w:shd w:val="clear" w:color="auto" w:fill="FFFFFF"/>
        </w:rPr>
        <w:t>in accordance with the requirements of</w:t>
      </w:r>
      <w:r w:rsidR="00CD6944">
        <w:rPr>
          <w:rFonts w:asciiTheme="minorHAnsi" w:hAnsiTheme="minorHAnsi"/>
          <w:color w:val="333333"/>
          <w:shd w:val="clear" w:color="auto" w:fill="FFFFFF"/>
        </w:rPr>
        <w:t xml:space="preserve"> Section</w:t>
      </w:r>
      <w:r w:rsidRPr="0006228B">
        <w:rPr>
          <w:rFonts w:asciiTheme="minorHAnsi" w:hAnsiTheme="minorHAnsi"/>
          <w:color w:val="333333"/>
          <w:shd w:val="clear" w:color="auto" w:fill="FFFFFF"/>
        </w:rPr>
        <w:t xml:space="preserve"> 13 of the </w:t>
      </w:r>
      <w:r w:rsidRPr="00BA0612">
        <w:rPr>
          <w:rFonts w:asciiTheme="minorHAnsi" w:hAnsiTheme="minorHAnsi"/>
          <w:color w:val="333333"/>
          <w:shd w:val="clear" w:color="auto" w:fill="FFFFFF"/>
        </w:rPr>
        <w:t>Act</w:t>
      </w:r>
      <w:r w:rsidRPr="0006228B">
        <w:rPr>
          <w:rFonts w:asciiTheme="minorHAnsi" w:hAnsiTheme="minorHAnsi"/>
          <w:color w:val="333333"/>
          <w:shd w:val="clear" w:color="auto" w:fill="FFFFFF"/>
        </w:rPr>
        <w:t>.</w:t>
      </w:r>
    </w:p>
    <w:p w:rsidR="001A422D" w:rsidRPr="00047219" w:rsidRDefault="00CD6944" w:rsidP="008352A4">
      <w:pPr>
        <w:pStyle w:val="Body"/>
        <w:rPr>
          <w:rFonts w:asciiTheme="minorHAnsi" w:hAnsiTheme="minorHAnsi"/>
        </w:rPr>
      </w:pPr>
      <w:r>
        <w:rPr>
          <w:rFonts w:asciiTheme="minorHAnsi" w:hAnsiTheme="minorHAnsi"/>
          <w:color w:val="333333"/>
          <w:shd w:val="clear" w:color="auto" w:fill="FFFFFF"/>
        </w:rPr>
        <w:t>The Panel will not publish any form of the report before it has been published by the Government.</w:t>
      </w:r>
      <w:bookmarkStart w:id="0" w:name="_GoBack"/>
      <w:bookmarkEnd w:id="0"/>
    </w:p>
    <w:sectPr w:rsidR="001A422D" w:rsidRPr="00047219" w:rsidSect="00FB1D83">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F9A" w:rsidRDefault="004C1F9A">
      <w:r>
        <w:separator/>
      </w:r>
    </w:p>
  </w:endnote>
  <w:endnote w:type="continuationSeparator" w:id="0">
    <w:p w:rsidR="004C1F9A" w:rsidRDefault="004C1F9A">
      <w:r>
        <w:continuationSeparator/>
      </w:r>
    </w:p>
  </w:endnote>
  <w:endnote w:type="continuationNotice" w:id="1">
    <w:p w:rsidR="004C1F9A" w:rsidRDefault="004C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348093"/>
      <w:docPartObj>
        <w:docPartGallery w:val="Page Numbers (Bottom of Page)"/>
        <w:docPartUnique/>
      </w:docPartObj>
    </w:sdtPr>
    <w:sdtEndPr>
      <w:rPr>
        <w:i/>
      </w:rPr>
    </w:sdtEndPr>
    <w:sdtContent>
      <w:sdt>
        <w:sdtPr>
          <w:rPr>
            <w:i/>
          </w:rPr>
          <w:id w:val="-1669238322"/>
          <w:docPartObj>
            <w:docPartGallery w:val="Page Numbers (Top of Page)"/>
            <w:docPartUnique/>
          </w:docPartObj>
        </w:sdtPr>
        <w:sdtEndPr/>
        <w:sdtContent>
          <w:p w:rsidR="00A72087" w:rsidRPr="004D751B" w:rsidRDefault="00A72087" w:rsidP="004D751B">
            <w:pPr>
              <w:pStyle w:val="Footer"/>
              <w:jc w:val="right"/>
              <w:rPr>
                <w:i/>
              </w:rPr>
            </w:pPr>
            <w:r w:rsidRPr="004D751B">
              <w:rPr>
                <w:i/>
              </w:rPr>
              <w:t xml:space="preserve">Page </w:t>
            </w:r>
            <w:r w:rsidRPr="004D751B">
              <w:rPr>
                <w:b/>
                <w:bCs/>
                <w:i/>
                <w:sz w:val="24"/>
              </w:rPr>
              <w:fldChar w:fldCharType="begin"/>
            </w:r>
            <w:r w:rsidRPr="004D751B">
              <w:rPr>
                <w:b/>
                <w:bCs/>
                <w:i/>
              </w:rPr>
              <w:instrText xml:space="preserve"> PAGE </w:instrText>
            </w:r>
            <w:r w:rsidRPr="004D751B">
              <w:rPr>
                <w:b/>
                <w:bCs/>
                <w:i/>
                <w:sz w:val="24"/>
              </w:rPr>
              <w:fldChar w:fldCharType="separate"/>
            </w:r>
            <w:r w:rsidR="00EF25B5">
              <w:rPr>
                <w:b/>
                <w:bCs/>
                <w:i/>
                <w:noProof/>
              </w:rPr>
              <w:t>2</w:t>
            </w:r>
            <w:r w:rsidRPr="004D751B">
              <w:rPr>
                <w:b/>
                <w:bCs/>
                <w:i/>
                <w:sz w:val="24"/>
              </w:rPr>
              <w:fldChar w:fldCharType="end"/>
            </w:r>
            <w:r w:rsidRPr="004D751B">
              <w:rPr>
                <w:i/>
              </w:rPr>
              <w:t xml:space="preserve"> of </w:t>
            </w:r>
            <w:r w:rsidRPr="004D751B">
              <w:rPr>
                <w:b/>
                <w:bCs/>
                <w:i/>
                <w:sz w:val="24"/>
              </w:rPr>
              <w:fldChar w:fldCharType="begin"/>
            </w:r>
            <w:r w:rsidRPr="004D751B">
              <w:rPr>
                <w:b/>
                <w:bCs/>
                <w:i/>
              </w:rPr>
              <w:instrText xml:space="preserve"> NUMPAGES  </w:instrText>
            </w:r>
            <w:r w:rsidRPr="004D751B">
              <w:rPr>
                <w:b/>
                <w:bCs/>
                <w:i/>
                <w:sz w:val="24"/>
              </w:rPr>
              <w:fldChar w:fldCharType="separate"/>
            </w:r>
            <w:r w:rsidR="00EF25B5">
              <w:rPr>
                <w:b/>
                <w:bCs/>
                <w:i/>
                <w:noProof/>
              </w:rPr>
              <w:t>3</w:t>
            </w:r>
            <w:r w:rsidRPr="004D751B">
              <w:rPr>
                <w:b/>
                <w:bCs/>
                <w:i/>
                <w:sz w:val="24"/>
              </w:rPr>
              <w:fldChar w:fldCharType="end"/>
            </w:r>
          </w:p>
        </w:sdtContent>
      </w:sdt>
    </w:sdtContent>
  </w:sdt>
  <w:p w:rsidR="005F5578" w:rsidRPr="009A2AE1" w:rsidRDefault="005F5578" w:rsidP="005F5578">
    <w:pPr>
      <w:pStyle w:val="Head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11754"/>
      <w:docPartObj>
        <w:docPartGallery w:val="Page Numbers (Bottom of Page)"/>
        <w:docPartUnique/>
      </w:docPartObj>
    </w:sdtPr>
    <w:sdtEndPr/>
    <w:sdtContent>
      <w:sdt>
        <w:sdtPr>
          <w:id w:val="2129818317"/>
          <w:docPartObj>
            <w:docPartGallery w:val="Page Numbers (Top of Page)"/>
            <w:docPartUnique/>
          </w:docPartObj>
        </w:sdtPr>
        <w:sdtEndPr/>
        <w:sdtContent>
          <w:p w:rsidR="00B67794" w:rsidRDefault="00B67794">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FB1D83">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103F7">
              <w:rPr>
                <w:b/>
                <w:bCs/>
                <w:noProof/>
              </w:rPr>
              <w:t>3</w:t>
            </w:r>
            <w:r>
              <w:rPr>
                <w:b/>
                <w:bCs/>
                <w:sz w:val="24"/>
              </w:rPr>
              <w:fldChar w:fldCharType="end"/>
            </w:r>
          </w:p>
        </w:sdtContent>
      </w:sdt>
    </w:sdtContent>
  </w:sdt>
  <w:p w:rsidR="00B67794" w:rsidRDefault="00B6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F9A" w:rsidRDefault="004C1F9A">
      <w:r>
        <w:separator/>
      </w:r>
    </w:p>
  </w:footnote>
  <w:footnote w:type="continuationSeparator" w:id="0">
    <w:p w:rsidR="004C1F9A" w:rsidRDefault="004C1F9A">
      <w:r>
        <w:continuationSeparator/>
      </w:r>
    </w:p>
  </w:footnote>
  <w:footnote w:type="continuationNotice" w:id="1">
    <w:p w:rsidR="004C1F9A" w:rsidRDefault="004C1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83" w:rsidRDefault="00FB1D83" w:rsidP="00FB1D83">
    <w:pPr>
      <w:pStyle w:val="Header"/>
      <w:jc w:val="center"/>
    </w:pPr>
  </w:p>
  <w:p w:rsidR="00D4652E" w:rsidRPr="000B7C09" w:rsidRDefault="00D4652E" w:rsidP="00D4652E">
    <w:pPr>
      <w:pStyle w:val="Header"/>
      <w:tabs>
        <w:tab w:val="left" w:pos="4341"/>
      </w:tabs>
      <w:rPr>
        <w:b/>
        <w:sz w:val="24"/>
      </w:rPr>
    </w:pPr>
    <w:r w:rsidRPr="000B7C09">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83" w:rsidRDefault="00FB1D83" w:rsidP="00FB1D83">
    <w:pPr>
      <w:pStyle w:val="Header"/>
      <w:jc w:val="center"/>
    </w:pPr>
    <w:r>
      <w:t>Cabinet in Confidence</w:t>
    </w:r>
  </w:p>
  <w:p w:rsidR="00FB1D83" w:rsidRDefault="00FB1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571"/>
    <w:multiLevelType w:val="hybridMultilevel"/>
    <w:tmpl w:val="ADC27AAC"/>
    <w:lvl w:ilvl="0" w:tplc="212C155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054C3"/>
    <w:multiLevelType w:val="hybridMultilevel"/>
    <w:tmpl w:val="2B8E50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68539E0"/>
    <w:multiLevelType w:val="hybridMultilevel"/>
    <w:tmpl w:val="18363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1956F9"/>
    <w:multiLevelType w:val="hybridMultilevel"/>
    <w:tmpl w:val="DBB2C87A"/>
    <w:lvl w:ilvl="0" w:tplc="E244F3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31FF4"/>
    <w:multiLevelType w:val="hybridMultilevel"/>
    <w:tmpl w:val="2C2AD6FE"/>
    <w:lvl w:ilvl="0" w:tplc="669493F6">
      <w:start w:val="1"/>
      <w:numFmt w:val="bullet"/>
      <w:lvlText w:val=""/>
      <w:lvlJc w:val="left"/>
      <w:pPr>
        <w:tabs>
          <w:tab w:val="num" w:pos="720"/>
        </w:tabs>
        <w:ind w:left="720" w:hanging="360"/>
      </w:pPr>
      <w:rPr>
        <w:rFonts w:ascii="Symbol" w:hAnsi="Symbol" w:hint="default"/>
      </w:rPr>
    </w:lvl>
    <w:lvl w:ilvl="1" w:tplc="D7E2B1D2">
      <w:numFmt w:val="bullet"/>
      <w:lvlText w:val=""/>
      <w:lvlJc w:val="left"/>
      <w:pPr>
        <w:tabs>
          <w:tab w:val="num" w:pos="1440"/>
        </w:tabs>
        <w:ind w:left="1440" w:hanging="360"/>
      </w:pPr>
      <w:rPr>
        <w:rFonts w:ascii="Symbol" w:eastAsia="MS Mincho"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37BEB"/>
    <w:multiLevelType w:val="hybridMultilevel"/>
    <w:tmpl w:val="2B8E50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5AE778B"/>
    <w:multiLevelType w:val="hybridMultilevel"/>
    <w:tmpl w:val="E53CB4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BC59E3"/>
    <w:multiLevelType w:val="hybridMultilevel"/>
    <w:tmpl w:val="5DFE4D5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B67ED7"/>
    <w:multiLevelType w:val="multilevel"/>
    <w:tmpl w:val="64A45AB6"/>
    <w:lvl w:ilvl="0">
      <w:start w:val="1"/>
      <w:numFmt w:val="decimal"/>
      <w:lvlText w:val="%1."/>
      <w:lvlJc w:val="left"/>
      <w:pPr>
        <w:ind w:left="720" w:hanging="360"/>
      </w:pPr>
      <w:rPr>
        <w:rFonts w:cs="Times New Roman"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466CB1"/>
    <w:multiLevelType w:val="hybridMultilevel"/>
    <w:tmpl w:val="867E12C2"/>
    <w:lvl w:ilvl="0" w:tplc="537061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30798"/>
    <w:multiLevelType w:val="hybridMultilevel"/>
    <w:tmpl w:val="2214AC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D03C92"/>
    <w:multiLevelType w:val="hybridMultilevel"/>
    <w:tmpl w:val="B06CAF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FA5905"/>
    <w:multiLevelType w:val="hybridMultilevel"/>
    <w:tmpl w:val="CBC013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E680174"/>
    <w:multiLevelType w:val="hybridMultilevel"/>
    <w:tmpl w:val="D4820D5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57910B1"/>
    <w:multiLevelType w:val="hybridMultilevel"/>
    <w:tmpl w:val="2214AC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90F61"/>
    <w:multiLevelType w:val="hybridMultilevel"/>
    <w:tmpl w:val="6434A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7919CA"/>
    <w:multiLevelType w:val="hybridMultilevel"/>
    <w:tmpl w:val="201893B6"/>
    <w:lvl w:ilvl="0" w:tplc="F662A67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4C4E"/>
    <w:multiLevelType w:val="hybridMultilevel"/>
    <w:tmpl w:val="20605E2E"/>
    <w:lvl w:ilvl="0" w:tplc="537061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A15DFD"/>
    <w:multiLevelType w:val="hybridMultilevel"/>
    <w:tmpl w:val="1408BC78"/>
    <w:lvl w:ilvl="0" w:tplc="E3E8C31A">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1A2535"/>
    <w:multiLevelType w:val="hybridMultilevel"/>
    <w:tmpl w:val="B746B1A6"/>
    <w:lvl w:ilvl="0" w:tplc="0C09000F">
      <w:start w:val="1"/>
      <w:numFmt w:val="decimal"/>
      <w:lvlText w:val="%1."/>
      <w:lvlJc w:val="left"/>
      <w:pPr>
        <w:ind w:left="149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63E01"/>
    <w:multiLevelType w:val="hybridMultilevel"/>
    <w:tmpl w:val="CCB61B70"/>
    <w:lvl w:ilvl="0" w:tplc="C2EEDA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074D45"/>
    <w:multiLevelType w:val="hybridMultilevel"/>
    <w:tmpl w:val="2B8E50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C744E19"/>
    <w:multiLevelType w:val="hybridMultilevel"/>
    <w:tmpl w:val="2214AC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D7068E"/>
    <w:multiLevelType w:val="hybridMultilevel"/>
    <w:tmpl w:val="5276EBE8"/>
    <w:lvl w:ilvl="0" w:tplc="0C090017">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B1398"/>
    <w:multiLevelType w:val="hybridMultilevel"/>
    <w:tmpl w:val="CDD8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E07AF0"/>
    <w:multiLevelType w:val="hybridMultilevel"/>
    <w:tmpl w:val="5510A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C77A10"/>
    <w:multiLevelType w:val="hybridMultilevel"/>
    <w:tmpl w:val="139475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7F47B0"/>
    <w:multiLevelType w:val="hybridMultilevel"/>
    <w:tmpl w:val="00ECC99C"/>
    <w:lvl w:ilvl="0" w:tplc="61EE4CB2">
      <w:start w:val="1"/>
      <w:numFmt w:val="lowerRoman"/>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346356"/>
    <w:multiLevelType w:val="hybridMultilevel"/>
    <w:tmpl w:val="67746680"/>
    <w:lvl w:ilvl="0" w:tplc="A34C3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8C405C"/>
    <w:multiLevelType w:val="hybridMultilevel"/>
    <w:tmpl w:val="2214AC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CE6B8F"/>
    <w:multiLevelType w:val="hybridMultilevel"/>
    <w:tmpl w:val="4350CA7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AC33113"/>
    <w:multiLevelType w:val="hybridMultilevel"/>
    <w:tmpl w:val="C052B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444298"/>
    <w:multiLevelType w:val="hybridMultilevel"/>
    <w:tmpl w:val="EF843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510ABB"/>
    <w:multiLevelType w:val="hybridMultilevel"/>
    <w:tmpl w:val="BDFAB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6A6635"/>
    <w:multiLevelType w:val="hybridMultilevel"/>
    <w:tmpl w:val="D4820D5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1F071B8"/>
    <w:multiLevelType w:val="hybridMultilevel"/>
    <w:tmpl w:val="EE84E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564958"/>
    <w:multiLevelType w:val="hybridMultilevel"/>
    <w:tmpl w:val="E0BAF6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EF03D6"/>
    <w:multiLevelType w:val="hybridMultilevel"/>
    <w:tmpl w:val="9A4E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764427"/>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DBD2B08"/>
    <w:multiLevelType w:val="hybridMultilevel"/>
    <w:tmpl w:val="055CD6C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BB6552"/>
    <w:multiLevelType w:val="hybridMultilevel"/>
    <w:tmpl w:val="0748C3D8"/>
    <w:lvl w:ilvl="0" w:tplc="212CDDA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3B1C55"/>
    <w:multiLevelType w:val="hybridMultilevel"/>
    <w:tmpl w:val="21E6B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01D1B"/>
    <w:multiLevelType w:val="hybridMultilevel"/>
    <w:tmpl w:val="2B8E50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C7F6DC7"/>
    <w:multiLevelType w:val="hybridMultilevel"/>
    <w:tmpl w:val="7F1AAB32"/>
    <w:lvl w:ilvl="0" w:tplc="0C090017">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2"/>
  </w:num>
  <w:num w:numId="4">
    <w:abstractNumId w:val="0"/>
  </w:num>
  <w:num w:numId="5">
    <w:abstractNumId w:val="13"/>
  </w:num>
  <w:num w:numId="6">
    <w:abstractNumId w:val="31"/>
  </w:num>
  <w:num w:numId="7">
    <w:abstractNumId w:val="4"/>
  </w:num>
  <w:num w:numId="8">
    <w:abstractNumId w:val="40"/>
  </w:num>
  <w:num w:numId="9">
    <w:abstractNumId w:val="1"/>
  </w:num>
  <w:num w:numId="10">
    <w:abstractNumId w:val="4"/>
  </w:num>
  <w:num w:numId="11">
    <w:abstractNumId w:val="40"/>
  </w:num>
  <w:num w:numId="12">
    <w:abstractNumId w:val="1"/>
  </w:num>
  <w:num w:numId="13">
    <w:abstractNumId w:val="21"/>
  </w:num>
  <w:num w:numId="14">
    <w:abstractNumId w:val="33"/>
  </w:num>
  <w:num w:numId="15">
    <w:abstractNumId w:val="9"/>
  </w:num>
  <w:num w:numId="16">
    <w:abstractNumId w:val="25"/>
  </w:num>
  <w:num w:numId="17">
    <w:abstractNumId w:val="17"/>
  </w:num>
  <w:num w:numId="18">
    <w:abstractNumId w:val="39"/>
  </w:num>
  <w:num w:numId="19">
    <w:abstractNumId w:val="5"/>
  </w:num>
  <w:num w:numId="20">
    <w:abstractNumId w:val="37"/>
  </w:num>
  <w:num w:numId="21">
    <w:abstractNumId w:val="27"/>
  </w:num>
  <w:num w:numId="22">
    <w:abstractNumId w:val="2"/>
  </w:num>
  <w:num w:numId="23">
    <w:abstractNumId w:val="42"/>
  </w:num>
  <w:num w:numId="24">
    <w:abstractNumId w:val="45"/>
  </w:num>
  <w:num w:numId="25">
    <w:abstractNumId w:val="6"/>
  </w:num>
  <w:num w:numId="26">
    <w:abstractNumId w:val="22"/>
  </w:num>
  <w:num w:numId="27">
    <w:abstractNumId w:val="24"/>
  </w:num>
  <w:num w:numId="28">
    <w:abstractNumId w:val="34"/>
  </w:num>
  <w:num w:numId="29">
    <w:abstractNumId w:val="20"/>
  </w:num>
  <w:num w:numId="30">
    <w:abstractNumId w:val="29"/>
  </w:num>
  <w:num w:numId="31">
    <w:abstractNumId w:val="43"/>
  </w:num>
  <w:num w:numId="32">
    <w:abstractNumId w:val="3"/>
  </w:num>
  <w:num w:numId="33">
    <w:abstractNumId w:val="15"/>
  </w:num>
  <w:num w:numId="34">
    <w:abstractNumId w:val="23"/>
  </w:num>
  <w:num w:numId="35">
    <w:abstractNumId w:val="11"/>
  </w:num>
  <w:num w:numId="36">
    <w:abstractNumId w:val="30"/>
  </w:num>
  <w:num w:numId="37">
    <w:abstractNumId w:val="32"/>
  </w:num>
  <w:num w:numId="38">
    <w:abstractNumId w:val="38"/>
  </w:num>
  <w:num w:numId="39">
    <w:abstractNumId w:val="35"/>
  </w:num>
  <w:num w:numId="40">
    <w:abstractNumId w:val="19"/>
  </w:num>
  <w:num w:numId="41">
    <w:abstractNumId w:val="44"/>
  </w:num>
  <w:num w:numId="42">
    <w:abstractNumId w:val="14"/>
  </w:num>
  <w:num w:numId="43">
    <w:abstractNumId w:val="26"/>
  </w:num>
  <w:num w:numId="44">
    <w:abstractNumId w:val="36"/>
  </w:num>
  <w:num w:numId="45">
    <w:abstractNumId w:val="8"/>
  </w:num>
  <w:num w:numId="46">
    <w:abstractNumId w:val="7"/>
  </w:num>
  <w:num w:numId="47">
    <w:abstractNumId w:val="28"/>
  </w:num>
  <w:num w:numId="48">
    <w:abstractNumId w:val="1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F25"/>
    <w:rsid w:val="000020F8"/>
    <w:rsid w:val="00003250"/>
    <w:rsid w:val="000052BB"/>
    <w:rsid w:val="000075A0"/>
    <w:rsid w:val="00011486"/>
    <w:rsid w:val="00016226"/>
    <w:rsid w:val="00016F4F"/>
    <w:rsid w:val="00020F0A"/>
    <w:rsid w:val="00021DDB"/>
    <w:rsid w:val="0002390A"/>
    <w:rsid w:val="00023D9A"/>
    <w:rsid w:val="00025046"/>
    <w:rsid w:val="000302D7"/>
    <w:rsid w:val="00031255"/>
    <w:rsid w:val="00031E2B"/>
    <w:rsid w:val="00032440"/>
    <w:rsid w:val="000325A7"/>
    <w:rsid w:val="0003270F"/>
    <w:rsid w:val="00032816"/>
    <w:rsid w:val="000363E8"/>
    <w:rsid w:val="00042312"/>
    <w:rsid w:val="00045945"/>
    <w:rsid w:val="00047219"/>
    <w:rsid w:val="00050699"/>
    <w:rsid w:val="00051785"/>
    <w:rsid w:val="00052531"/>
    <w:rsid w:val="00055021"/>
    <w:rsid w:val="00057F4D"/>
    <w:rsid w:val="0006228B"/>
    <w:rsid w:val="00070850"/>
    <w:rsid w:val="000712AB"/>
    <w:rsid w:val="000874B9"/>
    <w:rsid w:val="000919FA"/>
    <w:rsid w:val="000A1286"/>
    <w:rsid w:val="000A13FF"/>
    <w:rsid w:val="000A69EF"/>
    <w:rsid w:val="000A71B2"/>
    <w:rsid w:val="000B29E0"/>
    <w:rsid w:val="000B2B93"/>
    <w:rsid w:val="000B32F7"/>
    <w:rsid w:val="000B7B82"/>
    <w:rsid w:val="000B7C09"/>
    <w:rsid w:val="000C09BB"/>
    <w:rsid w:val="000C6DAB"/>
    <w:rsid w:val="000C7F90"/>
    <w:rsid w:val="000D2B96"/>
    <w:rsid w:val="000D4A52"/>
    <w:rsid w:val="000E0DB9"/>
    <w:rsid w:val="000F156C"/>
    <w:rsid w:val="000F37A4"/>
    <w:rsid w:val="000F44AF"/>
    <w:rsid w:val="000F6743"/>
    <w:rsid w:val="00101347"/>
    <w:rsid w:val="00102CB1"/>
    <w:rsid w:val="001135D6"/>
    <w:rsid w:val="00115795"/>
    <w:rsid w:val="00122337"/>
    <w:rsid w:val="00124ED8"/>
    <w:rsid w:val="00141549"/>
    <w:rsid w:val="00142641"/>
    <w:rsid w:val="00147FAA"/>
    <w:rsid w:val="00151E6F"/>
    <w:rsid w:val="00152D2C"/>
    <w:rsid w:val="00154945"/>
    <w:rsid w:val="001566C7"/>
    <w:rsid w:val="0016247E"/>
    <w:rsid w:val="00166380"/>
    <w:rsid w:val="001718E9"/>
    <w:rsid w:val="001742C7"/>
    <w:rsid w:val="00176C41"/>
    <w:rsid w:val="00182810"/>
    <w:rsid w:val="001879F1"/>
    <w:rsid w:val="0019316E"/>
    <w:rsid w:val="001938D4"/>
    <w:rsid w:val="001A1FF4"/>
    <w:rsid w:val="001A422D"/>
    <w:rsid w:val="001B3D48"/>
    <w:rsid w:val="001B6820"/>
    <w:rsid w:val="001C0B6E"/>
    <w:rsid w:val="001D13D7"/>
    <w:rsid w:val="001E3DFA"/>
    <w:rsid w:val="001F4326"/>
    <w:rsid w:val="00201B63"/>
    <w:rsid w:val="00202A6D"/>
    <w:rsid w:val="00206D3E"/>
    <w:rsid w:val="00206F75"/>
    <w:rsid w:val="002124B3"/>
    <w:rsid w:val="00212A1E"/>
    <w:rsid w:val="002144F6"/>
    <w:rsid w:val="00220F70"/>
    <w:rsid w:val="00226AF9"/>
    <w:rsid w:val="00230256"/>
    <w:rsid w:val="00232BE2"/>
    <w:rsid w:val="002378A0"/>
    <w:rsid w:val="00241AC0"/>
    <w:rsid w:val="002514B1"/>
    <w:rsid w:val="00253130"/>
    <w:rsid w:val="0025535B"/>
    <w:rsid w:val="00266D76"/>
    <w:rsid w:val="00275DFB"/>
    <w:rsid w:val="00281E12"/>
    <w:rsid w:val="00290235"/>
    <w:rsid w:val="002A53C3"/>
    <w:rsid w:val="002A5D34"/>
    <w:rsid w:val="002B12AE"/>
    <w:rsid w:val="002C0FCD"/>
    <w:rsid w:val="002C4792"/>
    <w:rsid w:val="002C595D"/>
    <w:rsid w:val="002C6D62"/>
    <w:rsid w:val="002D1118"/>
    <w:rsid w:val="002D41B2"/>
    <w:rsid w:val="002D4756"/>
    <w:rsid w:val="002E2F60"/>
    <w:rsid w:val="002E3E9B"/>
    <w:rsid w:val="002F1281"/>
    <w:rsid w:val="002F3498"/>
    <w:rsid w:val="002F56CA"/>
    <w:rsid w:val="00306C86"/>
    <w:rsid w:val="00324D1A"/>
    <w:rsid w:val="00335302"/>
    <w:rsid w:val="00335FDB"/>
    <w:rsid w:val="0034367D"/>
    <w:rsid w:val="003455F4"/>
    <w:rsid w:val="003466AD"/>
    <w:rsid w:val="003466E5"/>
    <w:rsid w:val="00351F44"/>
    <w:rsid w:val="00352325"/>
    <w:rsid w:val="00352E1F"/>
    <w:rsid w:val="00355A97"/>
    <w:rsid w:val="0036088F"/>
    <w:rsid w:val="003621AC"/>
    <w:rsid w:val="0036560E"/>
    <w:rsid w:val="0036683F"/>
    <w:rsid w:val="003674C1"/>
    <w:rsid w:val="003736B5"/>
    <w:rsid w:val="0038064A"/>
    <w:rsid w:val="00381A5B"/>
    <w:rsid w:val="00382E86"/>
    <w:rsid w:val="00383E2D"/>
    <w:rsid w:val="00390634"/>
    <w:rsid w:val="00392496"/>
    <w:rsid w:val="00392A60"/>
    <w:rsid w:val="003A6417"/>
    <w:rsid w:val="003A76FF"/>
    <w:rsid w:val="003B0CEF"/>
    <w:rsid w:val="003C3C76"/>
    <w:rsid w:val="003C4EDE"/>
    <w:rsid w:val="003C7E46"/>
    <w:rsid w:val="003D6F23"/>
    <w:rsid w:val="003E0004"/>
    <w:rsid w:val="003F1CC1"/>
    <w:rsid w:val="003F5CCC"/>
    <w:rsid w:val="00402098"/>
    <w:rsid w:val="00404C82"/>
    <w:rsid w:val="00406418"/>
    <w:rsid w:val="00410DF8"/>
    <w:rsid w:val="0041305A"/>
    <w:rsid w:val="00421833"/>
    <w:rsid w:val="00422EEF"/>
    <w:rsid w:val="00424EEE"/>
    <w:rsid w:val="00427DFB"/>
    <w:rsid w:val="00435212"/>
    <w:rsid w:val="004454D1"/>
    <w:rsid w:val="00446777"/>
    <w:rsid w:val="0045067B"/>
    <w:rsid w:val="004513EC"/>
    <w:rsid w:val="00452093"/>
    <w:rsid w:val="00460EDA"/>
    <w:rsid w:val="00462532"/>
    <w:rsid w:val="00464B00"/>
    <w:rsid w:val="00470960"/>
    <w:rsid w:val="00470A26"/>
    <w:rsid w:val="00473DA4"/>
    <w:rsid w:val="00473DF7"/>
    <w:rsid w:val="00475301"/>
    <w:rsid w:val="00480B51"/>
    <w:rsid w:val="004822EF"/>
    <w:rsid w:val="00482CCA"/>
    <w:rsid w:val="00491B98"/>
    <w:rsid w:val="00496644"/>
    <w:rsid w:val="00497ED5"/>
    <w:rsid w:val="004A2ECD"/>
    <w:rsid w:val="004A4C0C"/>
    <w:rsid w:val="004C038C"/>
    <w:rsid w:val="004C1393"/>
    <w:rsid w:val="004C1F9A"/>
    <w:rsid w:val="004D2140"/>
    <w:rsid w:val="004D352C"/>
    <w:rsid w:val="004D4007"/>
    <w:rsid w:val="004D581C"/>
    <w:rsid w:val="004D5AE2"/>
    <w:rsid w:val="004D657A"/>
    <w:rsid w:val="004D751B"/>
    <w:rsid w:val="004D7606"/>
    <w:rsid w:val="004F0318"/>
    <w:rsid w:val="004F62DE"/>
    <w:rsid w:val="00505C58"/>
    <w:rsid w:val="005117AE"/>
    <w:rsid w:val="00512647"/>
    <w:rsid w:val="0051432A"/>
    <w:rsid w:val="00514547"/>
    <w:rsid w:val="0051746B"/>
    <w:rsid w:val="00520A9E"/>
    <w:rsid w:val="00521502"/>
    <w:rsid w:val="00521EA4"/>
    <w:rsid w:val="00523C68"/>
    <w:rsid w:val="00527388"/>
    <w:rsid w:val="0052766B"/>
    <w:rsid w:val="00527E37"/>
    <w:rsid w:val="00532DC9"/>
    <w:rsid w:val="00533089"/>
    <w:rsid w:val="0053409A"/>
    <w:rsid w:val="00535DBD"/>
    <w:rsid w:val="005410C9"/>
    <w:rsid w:val="0054115F"/>
    <w:rsid w:val="00541931"/>
    <w:rsid w:val="005439F1"/>
    <w:rsid w:val="00544F19"/>
    <w:rsid w:val="005469A1"/>
    <w:rsid w:val="00554256"/>
    <w:rsid w:val="00557E13"/>
    <w:rsid w:val="00560743"/>
    <w:rsid w:val="00560B68"/>
    <w:rsid w:val="00565180"/>
    <w:rsid w:val="005666A1"/>
    <w:rsid w:val="00581BD7"/>
    <w:rsid w:val="00584C17"/>
    <w:rsid w:val="00585A77"/>
    <w:rsid w:val="005946BE"/>
    <w:rsid w:val="0059734D"/>
    <w:rsid w:val="00597935"/>
    <w:rsid w:val="005A5870"/>
    <w:rsid w:val="005B37DC"/>
    <w:rsid w:val="005B5B63"/>
    <w:rsid w:val="005C4640"/>
    <w:rsid w:val="005C6C91"/>
    <w:rsid w:val="005D1571"/>
    <w:rsid w:val="005D75B1"/>
    <w:rsid w:val="005E1D4D"/>
    <w:rsid w:val="005E7017"/>
    <w:rsid w:val="005F1182"/>
    <w:rsid w:val="005F3F61"/>
    <w:rsid w:val="005F5578"/>
    <w:rsid w:val="005F6055"/>
    <w:rsid w:val="005F69E0"/>
    <w:rsid w:val="005F6E7E"/>
    <w:rsid w:val="006009FB"/>
    <w:rsid w:val="00601FAC"/>
    <w:rsid w:val="00602190"/>
    <w:rsid w:val="00611AC6"/>
    <w:rsid w:val="00624A08"/>
    <w:rsid w:val="00624CCF"/>
    <w:rsid w:val="006318D3"/>
    <w:rsid w:val="00631D31"/>
    <w:rsid w:val="006326EB"/>
    <w:rsid w:val="00633E7A"/>
    <w:rsid w:val="006360FB"/>
    <w:rsid w:val="00647ED0"/>
    <w:rsid w:val="006509C9"/>
    <w:rsid w:val="00650EFC"/>
    <w:rsid w:val="00654935"/>
    <w:rsid w:val="006555F5"/>
    <w:rsid w:val="00660C2D"/>
    <w:rsid w:val="00660DCB"/>
    <w:rsid w:val="0066347C"/>
    <w:rsid w:val="00674D02"/>
    <w:rsid w:val="00675DF5"/>
    <w:rsid w:val="00676A4D"/>
    <w:rsid w:val="0069480A"/>
    <w:rsid w:val="006A189F"/>
    <w:rsid w:val="006A24BC"/>
    <w:rsid w:val="006A6BD1"/>
    <w:rsid w:val="006A711B"/>
    <w:rsid w:val="006B00F9"/>
    <w:rsid w:val="006B299A"/>
    <w:rsid w:val="006B35FB"/>
    <w:rsid w:val="006B4659"/>
    <w:rsid w:val="006C0FFE"/>
    <w:rsid w:val="006C1EC5"/>
    <w:rsid w:val="006C22FC"/>
    <w:rsid w:val="006C4FAF"/>
    <w:rsid w:val="006D79DF"/>
    <w:rsid w:val="006E0942"/>
    <w:rsid w:val="006E36D2"/>
    <w:rsid w:val="006E4639"/>
    <w:rsid w:val="006E62F4"/>
    <w:rsid w:val="006F349A"/>
    <w:rsid w:val="006F7199"/>
    <w:rsid w:val="00701936"/>
    <w:rsid w:val="00705656"/>
    <w:rsid w:val="00706197"/>
    <w:rsid w:val="00720A92"/>
    <w:rsid w:val="007240A6"/>
    <w:rsid w:val="007247BF"/>
    <w:rsid w:val="00725740"/>
    <w:rsid w:val="007266EC"/>
    <w:rsid w:val="00731EF2"/>
    <w:rsid w:val="007330D8"/>
    <w:rsid w:val="00735131"/>
    <w:rsid w:val="0073516D"/>
    <w:rsid w:val="0073656F"/>
    <w:rsid w:val="0074359A"/>
    <w:rsid w:val="0074483F"/>
    <w:rsid w:val="0075030C"/>
    <w:rsid w:val="00750C28"/>
    <w:rsid w:val="007552EA"/>
    <w:rsid w:val="00763B40"/>
    <w:rsid w:val="00771CDB"/>
    <w:rsid w:val="00774990"/>
    <w:rsid w:val="007800CD"/>
    <w:rsid w:val="007852AF"/>
    <w:rsid w:val="0078693E"/>
    <w:rsid w:val="0079295C"/>
    <w:rsid w:val="00793E2C"/>
    <w:rsid w:val="00794633"/>
    <w:rsid w:val="00797064"/>
    <w:rsid w:val="00797AFB"/>
    <w:rsid w:val="007A644F"/>
    <w:rsid w:val="007A6F73"/>
    <w:rsid w:val="007B65B8"/>
    <w:rsid w:val="007C0055"/>
    <w:rsid w:val="007C03A1"/>
    <w:rsid w:val="007C0791"/>
    <w:rsid w:val="007C37DB"/>
    <w:rsid w:val="007C5843"/>
    <w:rsid w:val="007C5B9D"/>
    <w:rsid w:val="007D7C15"/>
    <w:rsid w:val="007E378A"/>
    <w:rsid w:val="007F0353"/>
    <w:rsid w:val="007F0DFD"/>
    <w:rsid w:val="007F150F"/>
    <w:rsid w:val="007F488C"/>
    <w:rsid w:val="007F5EF3"/>
    <w:rsid w:val="00801F15"/>
    <w:rsid w:val="00806C30"/>
    <w:rsid w:val="00812275"/>
    <w:rsid w:val="0081320C"/>
    <w:rsid w:val="00813250"/>
    <w:rsid w:val="008173BE"/>
    <w:rsid w:val="0083010B"/>
    <w:rsid w:val="0083117C"/>
    <w:rsid w:val="00832A36"/>
    <w:rsid w:val="008352A4"/>
    <w:rsid w:val="00836559"/>
    <w:rsid w:val="008369C4"/>
    <w:rsid w:val="00842194"/>
    <w:rsid w:val="0084402A"/>
    <w:rsid w:val="00845AA3"/>
    <w:rsid w:val="00854651"/>
    <w:rsid w:val="008569CF"/>
    <w:rsid w:val="00856C17"/>
    <w:rsid w:val="00861DBB"/>
    <w:rsid w:val="00864D7A"/>
    <w:rsid w:val="00865A25"/>
    <w:rsid w:val="0086607C"/>
    <w:rsid w:val="0086674E"/>
    <w:rsid w:val="00870C26"/>
    <w:rsid w:val="00871D92"/>
    <w:rsid w:val="008762B3"/>
    <w:rsid w:val="008817A9"/>
    <w:rsid w:val="00883F91"/>
    <w:rsid w:val="00885E1A"/>
    <w:rsid w:val="00886CFC"/>
    <w:rsid w:val="00890D17"/>
    <w:rsid w:val="00892B69"/>
    <w:rsid w:val="008956E3"/>
    <w:rsid w:val="00895DF4"/>
    <w:rsid w:val="008A0B68"/>
    <w:rsid w:val="008A17A1"/>
    <w:rsid w:val="008A3389"/>
    <w:rsid w:val="008A70FF"/>
    <w:rsid w:val="008B18CF"/>
    <w:rsid w:val="008B3F09"/>
    <w:rsid w:val="008B687F"/>
    <w:rsid w:val="008C1760"/>
    <w:rsid w:val="008D25A8"/>
    <w:rsid w:val="008D51A6"/>
    <w:rsid w:val="008D7D9F"/>
    <w:rsid w:val="008F41BD"/>
    <w:rsid w:val="008F451B"/>
    <w:rsid w:val="008F53CB"/>
    <w:rsid w:val="00902622"/>
    <w:rsid w:val="00903790"/>
    <w:rsid w:val="009066F7"/>
    <w:rsid w:val="00907B1F"/>
    <w:rsid w:val="009128B5"/>
    <w:rsid w:val="009147A8"/>
    <w:rsid w:val="00916757"/>
    <w:rsid w:val="00932966"/>
    <w:rsid w:val="00937D35"/>
    <w:rsid w:val="00940A1F"/>
    <w:rsid w:val="009423F6"/>
    <w:rsid w:val="00945FB1"/>
    <w:rsid w:val="00947A9D"/>
    <w:rsid w:val="00950153"/>
    <w:rsid w:val="00950688"/>
    <w:rsid w:val="00950DFA"/>
    <w:rsid w:val="00951F26"/>
    <w:rsid w:val="00952CF7"/>
    <w:rsid w:val="00953384"/>
    <w:rsid w:val="009642C5"/>
    <w:rsid w:val="00964DB2"/>
    <w:rsid w:val="00965555"/>
    <w:rsid w:val="00965A0D"/>
    <w:rsid w:val="00966828"/>
    <w:rsid w:val="009671A2"/>
    <w:rsid w:val="00967524"/>
    <w:rsid w:val="00967F01"/>
    <w:rsid w:val="00971DD7"/>
    <w:rsid w:val="00973D5E"/>
    <w:rsid w:val="00977D7C"/>
    <w:rsid w:val="00980986"/>
    <w:rsid w:val="00981703"/>
    <w:rsid w:val="009836CC"/>
    <w:rsid w:val="00983EBD"/>
    <w:rsid w:val="009849DD"/>
    <w:rsid w:val="00984E2F"/>
    <w:rsid w:val="00991FE9"/>
    <w:rsid w:val="009970FD"/>
    <w:rsid w:val="00997C2F"/>
    <w:rsid w:val="009A1585"/>
    <w:rsid w:val="009A2AE1"/>
    <w:rsid w:val="009A36D9"/>
    <w:rsid w:val="009B6042"/>
    <w:rsid w:val="009B6F78"/>
    <w:rsid w:val="009B7997"/>
    <w:rsid w:val="009B7C6C"/>
    <w:rsid w:val="009C061F"/>
    <w:rsid w:val="009C38F8"/>
    <w:rsid w:val="009C7E4E"/>
    <w:rsid w:val="009D04FC"/>
    <w:rsid w:val="009D5963"/>
    <w:rsid w:val="009E0460"/>
    <w:rsid w:val="009E0E9F"/>
    <w:rsid w:val="009E6BF6"/>
    <w:rsid w:val="009F2AB4"/>
    <w:rsid w:val="009F745B"/>
    <w:rsid w:val="00A001AA"/>
    <w:rsid w:val="00A007CC"/>
    <w:rsid w:val="00A02C38"/>
    <w:rsid w:val="00A177E9"/>
    <w:rsid w:val="00A2591A"/>
    <w:rsid w:val="00A35F9B"/>
    <w:rsid w:val="00A41094"/>
    <w:rsid w:val="00A41FA1"/>
    <w:rsid w:val="00A42EF9"/>
    <w:rsid w:val="00A44185"/>
    <w:rsid w:val="00A44F50"/>
    <w:rsid w:val="00A478C4"/>
    <w:rsid w:val="00A47E48"/>
    <w:rsid w:val="00A606F2"/>
    <w:rsid w:val="00A63692"/>
    <w:rsid w:val="00A64160"/>
    <w:rsid w:val="00A644BD"/>
    <w:rsid w:val="00A65415"/>
    <w:rsid w:val="00A6544C"/>
    <w:rsid w:val="00A65FC3"/>
    <w:rsid w:val="00A7137B"/>
    <w:rsid w:val="00A71C4A"/>
    <w:rsid w:val="00A72087"/>
    <w:rsid w:val="00A73304"/>
    <w:rsid w:val="00A8797F"/>
    <w:rsid w:val="00A913FA"/>
    <w:rsid w:val="00A925B9"/>
    <w:rsid w:val="00A932F9"/>
    <w:rsid w:val="00A957FA"/>
    <w:rsid w:val="00AA11FA"/>
    <w:rsid w:val="00AA1CB1"/>
    <w:rsid w:val="00AA25B2"/>
    <w:rsid w:val="00AA3C68"/>
    <w:rsid w:val="00AA7318"/>
    <w:rsid w:val="00AB053F"/>
    <w:rsid w:val="00AB3E0F"/>
    <w:rsid w:val="00AB55AC"/>
    <w:rsid w:val="00AB5EF1"/>
    <w:rsid w:val="00AB6BDB"/>
    <w:rsid w:val="00AC1D34"/>
    <w:rsid w:val="00AC24F0"/>
    <w:rsid w:val="00AD13AC"/>
    <w:rsid w:val="00AD1662"/>
    <w:rsid w:val="00AD1BCE"/>
    <w:rsid w:val="00AD2CBA"/>
    <w:rsid w:val="00AD5313"/>
    <w:rsid w:val="00AE20DE"/>
    <w:rsid w:val="00AE21FD"/>
    <w:rsid w:val="00AE2722"/>
    <w:rsid w:val="00AF1E01"/>
    <w:rsid w:val="00B00659"/>
    <w:rsid w:val="00B01C2C"/>
    <w:rsid w:val="00B02B3B"/>
    <w:rsid w:val="00B07A25"/>
    <w:rsid w:val="00B07BE8"/>
    <w:rsid w:val="00B1204D"/>
    <w:rsid w:val="00B1327D"/>
    <w:rsid w:val="00B132D5"/>
    <w:rsid w:val="00B16958"/>
    <w:rsid w:val="00B206CA"/>
    <w:rsid w:val="00B3792C"/>
    <w:rsid w:val="00B40738"/>
    <w:rsid w:val="00B576F1"/>
    <w:rsid w:val="00B67794"/>
    <w:rsid w:val="00B948DF"/>
    <w:rsid w:val="00B95326"/>
    <w:rsid w:val="00B95BC2"/>
    <w:rsid w:val="00B977C0"/>
    <w:rsid w:val="00B97C0C"/>
    <w:rsid w:val="00BA0612"/>
    <w:rsid w:val="00BA2506"/>
    <w:rsid w:val="00BA4D49"/>
    <w:rsid w:val="00BA4D95"/>
    <w:rsid w:val="00BB179C"/>
    <w:rsid w:val="00BB2768"/>
    <w:rsid w:val="00BB297E"/>
    <w:rsid w:val="00BB3BF2"/>
    <w:rsid w:val="00BC0B60"/>
    <w:rsid w:val="00BC12F0"/>
    <w:rsid w:val="00BC4044"/>
    <w:rsid w:val="00BC6CAF"/>
    <w:rsid w:val="00BE1FB7"/>
    <w:rsid w:val="00BE69A3"/>
    <w:rsid w:val="00BE7624"/>
    <w:rsid w:val="00BF048B"/>
    <w:rsid w:val="00BF0A95"/>
    <w:rsid w:val="00BF31D2"/>
    <w:rsid w:val="00BF4FD6"/>
    <w:rsid w:val="00C02763"/>
    <w:rsid w:val="00C032FA"/>
    <w:rsid w:val="00C05C36"/>
    <w:rsid w:val="00C1115A"/>
    <w:rsid w:val="00C12CAE"/>
    <w:rsid w:val="00C16324"/>
    <w:rsid w:val="00C20CC9"/>
    <w:rsid w:val="00C22D4C"/>
    <w:rsid w:val="00C230C0"/>
    <w:rsid w:val="00C239F6"/>
    <w:rsid w:val="00C3243F"/>
    <w:rsid w:val="00C40BD4"/>
    <w:rsid w:val="00C43FF8"/>
    <w:rsid w:val="00C462B8"/>
    <w:rsid w:val="00C50DBD"/>
    <w:rsid w:val="00C517C2"/>
    <w:rsid w:val="00C56C62"/>
    <w:rsid w:val="00C73F71"/>
    <w:rsid w:val="00C77F25"/>
    <w:rsid w:val="00C84A3D"/>
    <w:rsid w:val="00C925E9"/>
    <w:rsid w:val="00CA3DCD"/>
    <w:rsid w:val="00CA3FAB"/>
    <w:rsid w:val="00CA48A3"/>
    <w:rsid w:val="00CA677D"/>
    <w:rsid w:val="00CA7238"/>
    <w:rsid w:val="00CB1A7F"/>
    <w:rsid w:val="00CB27D9"/>
    <w:rsid w:val="00CB2CD7"/>
    <w:rsid w:val="00CC7D2D"/>
    <w:rsid w:val="00CD20EB"/>
    <w:rsid w:val="00CD5557"/>
    <w:rsid w:val="00CD60A8"/>
    <w:rsid w:val="00CD6944"/>
    <w:rsid w:val="00CE0188"/>
    <w:rsid w:val="00CE4753"/>
    <w:rsid w:val="00CE6F21"/>
    <w:rsid w:val="00CE73BD"/>
    <w:rsid w:val="00CF0055"/>
    <w:rsid w:val="00CF0546"/>
    <w:rsid w:val="00CF4924"/>
    <w:rsid w:val="00D041A3"/>
    <w:rsid w:val="00D103F7"/>
    <w:rsid w:val="00D17091"/>
    <w:rsid w:val="00D22E76"/>
    <w:rsid w:val="00D325A1"/>
    <w:rsid w:val="00D34B70"/>
    <w:rsid w:val="00D3592F"/>
    <w:rsid w:val="00D3665F"/>
    <w:rsid w:val="00D367C1"/>
    <w:rsid w:val="00D409EF"/>
    <w:rsid w:val="00D440F8"/>
    <w:rsid w:val="00D4636D"/>
    <w:rsid w:val="00D4652E"/>
    <w:rsid w:val="00D51831"/>
    <w:rsid w:val="00D57C9E"/>
    <w:rsid w:val="00D61C55"/>
    <w:rsid w:val="00D62660"/>
    <w:rsid w:val="00D664DD"/>
    <w:rsid w:val="00D70C3B"/>
    <w:rsid w:val="00D7248F"/>
    <w:rsid w:val="00D74A5A"/>
    <w:rsid w:val="00D8110C"/>
    <w:rsid w:val="00D93FB5"/>
    <w:rsid w:val="00D9708A"/>
    <w:rsid w:val="00D97476"/>
    <w:rsid w:val="00DB2A86"/>
    <w:rsid w:val="00DC1211"/>
    <w:rsid w:val="00DC4E05"/>
    <w:rsid w:val="00DC6806"/>
    <w:rsid w:val="00DD682E"/>
    <w:rsid w:val="00DD6F56"/>
    <w:rsid w:val="00DD7AA1"/>
    <w:rsid w:val="00DE20D9"/>
    <w:rsid w:val="00DF5FF7"/>
    <w:rsid w:val="00DF7FB2"/>
    <w:rsid w:val="00E00087"/>
    <w:rsid w:val="00E00144"/>
    <w:rsid w:val="00E00696"/>
    <w:rsid w:val="00E02C04"/>
    <w:rsid w:val="00E04E8B"/>
    <w:rsid w:val="00E05B07"/>
    <w:rsid w:val="00E06914"/>
    <w:rsid w:val="00E071EE"/>
    <w:rsid w:val="00E16CF6"/>
    <w:rsid w:val="00E21CA1"/>
    <w:rsid w:val="00E24B4F"/>
    <w:rsid w:val="00E24D27"/>
    <w:rsid w:val="00E36601"/>
    <w:rsid w:val="00E42F24"/>
    <w:rsid w:val="00E44AC4"/>
    <w:rsid w:val="00E52BD2"/>
    <w:rsid w:val="00E60599"/>
    <w:rsid w:val="00E6227A"/>
    <w:rsid w:val="00E66064"/>
    <w:rsid w:val="00E70215"/>
    <w:rsid w:val="00E70950"/>
    <w:rsid w:val="00E75425"/>
    <w:rsid w:val="00E7635D"/>
    <w:rsid w:val="00E76ED1"/>
    <w:rsid w:val="00E816AC"/>
    <w:rsid w:val="00E84330"/>
    <w:rsid w:val="00E86FC4"/>
    <w:rsid w:val="00E91574"/>
    <w:rsid w:val="00E9167C"/>
    <w:rsid w:val="00E92D42"/>
    <w:rsid w:val="00E936CE"/>
    <w:rsid w:val="00E9665A"/>
    <w:rsid w:val="00EA2C76"/>
    <w:rsid w:val="00EA6B27"/>
    <w:rsid w:val="00EA7CCE"/>
    <w:rsid w:val="00EA7F2F"/>
    <w:rsid w:val="00EB353C"/>
    <w:rsid w:val="00EB4711"/>
    <w:rsid w:val="00EC1160"/>
    <w:rsid w:val="00EC7495"/>
    <w:rsid w:val="00ED0F8F"/>
    <w:rsid w:val="00ED3BA4"/>
    <w:rsid w:val="00EE07A6"/>
    <w:rsid w:val="00EF25B5"/>
    <w:rsid w:val="00EF29BD"/>
    <w:rsid w:val="00EF699F"/>
    <w:rsid w:val="00EF7534"/>
    <w:rsid w:val="00F059E3"/>
    <w:rsid w:val="00F05A2B"/>
    <w:rsid w:val="00F06955"/>
    <w:rsid w:val="00F10869"/>
    <w:rsid w:val="00F14690"/>
    <w:rsid w:val="00F159AD"/>
    <w:rsid w:val="00F16A24"/>
    <w:rsid w:val="00F200EB"/>
    <w:rsid w:val="00F26642"/>
    <w:rsid w:val="00F328B4"/>
    <w:rsid w:val="00F33551"/>
    <w:rsid w:val="00F339CF"/>
    <w:rsid w:val="00F35960"/>
    <w:rsid w:val="00F40F71"/>
    <w:rsid w:val="00F46029"/>
    <w:rsid w:val="00F462E3"/>
    <w:rsid w:val="00F5232E"/>
    <w:rsid w:val="00F54C81"/>
    <w:rsid w:val="00F57E77"/>
    <w:rsid w:val="00F653E4"/>
    <w:rsid w:val="00F67057"/>
    <w:rsid w:val="00F84E92"/>
    <w:rsid w:val="00F92F9D"/>
    <w:rsid w:val="00F938E5"/>
    <w:rsid w:val="00F95396"/>
    <w:rsid w:val="00F96741"/>
    <w:rsid w:val="00FA0A46"/>
    <w:rsid w:val="00FB1D83"/>
    <w:rsid w:val="00FB5550"/>
    <w:rsid w:val="00FB6AD5"/>
    <w:rsid w:val="00FC6DF6"/>
    <w:rsid w:val="00FC7046"/>
    <w:rsid w:val="00FD1ADA"/>
    <w:rsid w:val="00FD46D5"/>
    <w:rsid w:val="00FD629A"/>
    <w:rsid w:val="00FD7398"/>
    <w:rsid w:val="00FE3F12"/>
    <w:rsid w:val="00FE4C29"/>
    <w:rsid w:val="00FF1BD1"/>
    <w:rsid w:val="00FF5C86"/>
    <w:rsid w:val="00FF7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1F3DF"/>
  <w15:docId w15:val="{6E262CEA-8A2E-4D54-9431-B600EAA0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81BD7"/>
    <w:rPr>
      <w:rFonts w:ascii="Calibri" w:hAnsi="Calibri"/>
      <w:sz w:val="22"/>
      <w:szCs w:val="24"/>
    </w:rPr>
  </w:style>
  <w:style w:type="paragraph" w:styleId="Heading1">
    <w:name w:val="heading 1"/>
    <w:basedOn w:val="Normal"/>
    <w:next w:val="Normal"/>
    <w:link w:val="Heading1Char"/>
    <w:qFormat/>
    <w:rsid w:val="001157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81B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81BD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81BD7"/>
    <w:pPr>
      <w:keepNext/>
      <w:spacing w:before="240" w:after="60"/>
      <w:outlineLvl w:val="3"/>
    </w:pPr>
    <w:rPr>
      <w:b/>
      <w:bCs/>
      <w:sz w:val="28"/>
      <w:szCs w:val="28"/>
    </w:rPr>
  </w:style>
  <w:style w:type="paragraph" w:styleId="Heading5">
    <w:name w:val="heading 5"/>
    <w:basedOn w:val="Normal"/>
    <w:next w:val="Normal"/>
    <w:link w:val="Heading5Char"/>
    <w:qFormat/>
    <w:rsid w:val="00581BD7"/>
    <w:pPr>
      <w:spacing w:before="240" w:after="60"/>
      <w:outlineLvl w:val="4"/>
    </w:pPr>
    <w:rPr>
      <w:b/>
      <w:bCs/>
      <w:i/>
      <w:iCs/>
      <w:sz w:val="26"/>
      <w:szCs w:val="26"/>
    </w:rPr>
  </w:style>
  <w:style w:type="paragraph" w:styleId="Heading6">
    <w:name w:val="heading 6"/>
    <w:basedOn w:val="Normal"/>
    <w:next w:val="Normal"/>
    <w:link w:val="Heading6Char"/>
    <w:qFormat/>
    <w:rsid w:val="00581BD7"/>
    <w:pPr>
      <w:spacing w:before="240" w:after="60"/>
      <w:outlineLvl w:val="5"/>
    </w:pPr>
    <w:rPr>
      <w:b/>
      <w:bCs/>
      <w:szCs w:val="22"/>
    </w:rPr>
  </w:style>
  <w:style w:type="paragraph" w:styleId="Heading7">
    <w:name w:val="heading 7"/>
    <w:basedOn w:val="Normal"/>
    <w:next w:val="Normal"/>
    <w:link w:val="Heading7Char"/>
    <w:qFormat/>
    <w:rsid w:val="00581BD7"/>
    <w:pPr>
      <w:spacing w:before="240" w:after="60"/>
      <w:outlineLvl w:val="6"/>
    </w:pPr>
  </w:style>
  <w:style w:type="paragraph" w:styleId="Heading8">
    <w:name w:val="heading 8"/>
    <w:basedOn w:val="Normal"/>
    <w:next w:val="Normal"/>
    <w:link w:val="Heading8Char"/>
    <w:qFormat/>
    <w:rsid w:val="00581BD7"/>
    <w:pPr>
      <w:spacing w:before="240" w:after="60"/>
      <w:outlineLvl w:val="7"/>
    </w:pPr>
    <w:rPr>
      <w:i/>
      <w:iCs/>
    </w:rPr>
  </w:style>
  <w:style w:type="paragraph" w:styleId="Heading9">
    <w:name w:val="heading 9"/>
    <w:basedOn w:val="Normal"/>
    <w:next w:val="Normal"/>
    <w:link w:val="Heading9Char"/>
    <w:qFormat/>
    <w:rsid w:val="00581BD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F25"/>
    <w:pPr>
      <w:ind w:left="720"/>
      <w:contextualSpacing/>
    </w:pPr>
  </w:style>
  <w:style w:type="paragraph" w:styleId="Header">
    <w:name w:val="header"/>
    <w:basedOn w:val="Normal"/>
    <w:link w:val="HeaderChar"/>
    <w:uiPriority w:val="99"/>
    <w:unhideWhenUsed/>
    <w:rsid w:val="00C77F25"/>
    <w:pPr>
      <w:tabs>
        <w:tab w:val="center" w:pos="4513"/>
        <w:tab w:val="right" w:pos="9026"/>
      </w:tabs>
    </w:pPr>
  </w:style>
  <w:style w:type="character" w:customStyle="1" w:styleId="HeaderChar">
    <w:name w:val="Header Char"/>
    <w:basedOn w:val="DefaultParagraphFont"/>
    <w:link w:val="Header"/>
    <w:uiPriority w:val="99"/>
    <w:rsid w:val="00C77F25"/>
  </w:style>
  <w:style w:type="paragraph" w:styleId="Footer">
    <w:name w:val="footer"/>
    <w:basedOn w:val="Normal"/>
    <w:link w:val="FooterChar"/>
    <w:uiPriority w:val="99"/>
    <w:unhideWhenUsed/>
    <w:rsid w:val="00C77F25"/>
    <w:pPr>
      <w:tabs>
        <w:tab w:val="center" w:pos="4513"/>
        <w:tab w:val="right" w:pos="9026"/>
      </w:tabs>
    </w:pPr>
  </w:style>
  <w:style w:type="character" w:customStyle="1" w:styleId="FooterChar">
    <w:name w:val="Footer Char"/>
    <w:basedOn w:val="DefaultParagraphFont"/>
    <w:link w:val="Footer"/>
    <w:uiPriority w:val="99"/>
    <w:rsid w:val="00C77F25"/>
  </w:style>
  <w:style w:type="paragraph" w:styleId="BalloonText">
    <w:name w:val="Balloon Text"/>
    <w:basedOn w:val="Normal"/>
    <w:link w:val="BalloonTextChar"/>
    <w:uiPriority w:val="99"/>
    <w:semiHidden/>
    <w:unhideWhenUsed/>
    <w:rsid w:val="00151E6F"/>
    <w:rPr>
      <w:rFonts w:ascii="Tahoma" w:hAnsi="Tahoma" w:cs="Tahoma"/>
      <w:sz w:val="16"/>
      <w:szCs w:val="16"/>
    </w:rPr>
  </w:style>
  <w:style w:type="character" w:customStyle="1" w:styleId="BalloonTextChar">
    <w:name w:val="Balloon Text Char"/>
    <w:basedOn w:val="DefaultParagraphFont"/>
    <w:link w:val="BalloonText"/>
    <w:uiPriority w:val="99"/>
    <w:semiHidden/>
    <w:rsid w:val="00151E6F"/>
    <w:rPr>
      <w:rFonts w:ascii="Tahoma" w:hAnsi="Tahoma" w:cs="Tahoma"/>
      <w:sz w:val="16"/>
      <w:szCs w:val="16"/>
    </w:rPr>
  </w:style>
  <w:style w:type="character" w:styleId="CommentReference">
    <w:name w:val="annotation reference"/>
    <w:basedOn w:val="DefaultParagraphFont"/>
    <w:uiPriority w:val="99"/>
    <w:semiHidden/>
    <w:unhideWhenUsed/>
    <w:rsid w:val="00512647"/>
    <w:rPr>
      <w:sz w:val="16"/>
      <w:szCs w:val="16"/>
    </w:rPr>
  </w:style>
  <w:style w:type="paragraph" w:styleId="CommentText">
    <w:name w:val="annotation text"/>
    <w:basedOn w:val="Normal"/>
    <w:link w:val="CommentTextChar"/>
    <w:uiPriority w:val="99"/>
    <w:unhideWhenUsed/>
    <w:rsid w:val="00512647"/>
    <w:rPr>
      <w:sz w:val="20"/>
      <w:szCs w:val="20"/>
    </w:rPr>
  </w:style>
  <w:style w:type="character" w:customStyle="1" w:styleId="CommentTextChar">
    <w:name w:val="Comment Text Char"/>
    <w:basedOn w:val="DefaultParagraphFont"/>
    <w:link w:val="CommentText"/>
    <w:uiPriority w:val="99"/>
    <w:rsid w:val="00512647"/>
    <w:rPr>
      <w:sz w:val="20"/>
      <w:szCs w:val="20"/>
    </w:rPr>
  </w:style>
  <w:style w:type="paragraph" w:styleId="CommentSubject">
    <w:name w:val="annotation subject"/>
    <w:basedOn w:val="CommentText"/>
    <w:next w:val="CommentText"/>
    <w:link w:val="CommentSubjectChar"/>
    <w:uiPriority w:val="99"/>
    <w:semiHidden/>
    <w:unhideWhenUsed/>
    <w:rsid w:val="00512647"/>
    <w:rPr>
      <w:b/>
      <w:bCs/>
    </w:rPr>
  </w:style>
  <w:style w:type="character" w:customStyle="1" w:styleId="CommentSubjectChar">
    <w:name w:val="Comment Subject Char"/>
    <w:basedOn w:val="CommentTextChar"/>
    <w:link w:val="CommentSubject"/>
    <w:uiPriority w:val="99"/>
    <w:semiHidden/>
    <w:rsid w:val="00512647"/>
    <w:rPr>
      <w:b/>
      <w:bCs/>
      <w:sz w:val="20"/>
      <w:szCs w:val="20"/>
    </w:rPr>
  </w:style>
  <w:style w:type="paragraph" w:customStyle="1" w:styleId="Body">
    <w:name w:val="_Body"/>
    <w:qFormat/>
    <w:rsid w:val="00581BD7"/>
    <w:pPr>
      <w:spacing w:after="113" w:line="240" w:lineRule="atLeast"/>
    </w:pPr>
    <w:rPr>
      <w:rFonts w:ascii="Calibri" w:hAnsi="Calibri" w:cs="Arial"/>
      <w:sz w:val="22"/>
      <w:szCs w:val="24"/>
    </w:rPr>
  </w:style>
  <w:style w:type="paragraph" w:customStyle="1" w:styleId="Bullet">
    <w:name w:val="_Bullet"/>
    <w:link w:val="BulletChar"/>
    <w:qFormat/>
    <w:rsid w:val="00115795"/>
    <w:pPr>
      <w:tabs>
        <w:tab w:val="left" w:pos="170"/>
      </w:tabs>
      <w:spacing w:after="113" w:line="220" w:lineRule="atLeast"/>
      <w:ind w:left="170" w:hanging="170"/>
    </w:pPr>
    <w:rPr>
      <w:rFonts w:ascii="Calibri" w:hAnsi="Calibri" w:cs="Arial"/>
      <w:sz w:val="22"/>
      <w:szCs w:val="24"/>
    </w:rPr>
  </w:style>
  <w:style w:type="character" w:customStyle="1" w:styleId="BulletChar">
    <w:name w:val="_Bullet Char"/>
    <w:link w:val="Bullet"/>
    <w:rsid w:val="00581BD7"/>
    <w:rPr>
      <w:rFonts w:ascii="Calibri" w:hAnsi="Calibri" w:cs="Arial"/>
      <w:sz w:val="22"/>
      <w:szCs w:val="24"/>
    </w:rPr>
  </w:style>
  <w:style w:type="paragraph" w:customStyle="1" w:styleId="Bullet2">
    <w:name w:val="_Bullet2"/>
    <w:basedOn w:val="Bullet"/>
    <w:qFormat/>
    <w:rsid w:val="00115795"/>
    <w:pPr>
      <w:numPr>
        <w:ilvl w:val="1"/>
        <w:numId w:val="8"/>
      </w:numPr>
      <w:tabs>
        <w:tab w:val="clear" w:pos="170"/>
      </w:tabs>
    </w:pPr>
  </w:style>
  <w:style w:type="paragraph" w:customStyle="1" w:styleId="Caption">
    <w:name w:val="_Caption"/>
    <w:qFormat/>
    <w:rsid w:val="00581BD7"/>
    <w:pPr>
      <w:spacing w:before="120" w:after="120" w:line="170" w:lineRule="atLeast"/>
    </w:pPr>
    <w:rPr>
      <w:rFonts w:ascii="Calibri" w:hAnsi="Calibri" w:cs="Arial"/>
      <w:b/>
      <w:color w:val="404040"/>
      <w:szCs w:val="14"/>
    </w:rPr>
  </w:style>
  <w:style w:type="paragraph" w:customStyle="1" w:styleId="HA">
    <w:name w:val="_HA"/>
    <w:next w:val="Body"/>
    <w:uiPriority w:val="2"/>
    <w:qFormat/>
    <w:rsid w:val="00581BD7"/>
    <w:pPr>
      <w:spacing w:after="600" w:line="460" w:lineRule="atLeast"/>
      <w:outlineLvl w:val="0"/>
    </w:pPr>
    <w:rPr>
      <w:rFonts w:ascii="Calibri" w:hAnsi="Calibri" w:cs="Arial"/>
      <w:color w:val="228591"/>
      <w:sz w:val="40"/>
      <w:szCs w:val="24"/>
      <w:lang w:val="en-US"/>
    </w:rPr>
  </w:style>
  <w:style w:type="paragraph" w:customStyle="1" w:styleId="HB">
    <w:name w:val="_HB"/>
    <w:next w:val="Body"/>
    <w:uiPriority w:val="2"/>
    <w:qFormat/>
    <w:rsid w:val="00581BD7"/>
    <w:pPr>
      <w:spacing w:before="180" w:after="113" w:line="300" w:lineRule="atLeast"/>
      <w:outlineLvl w:val="0"/>
    </w:pPr>
    <w:rPr>
      <w:rFonts w:ascii="Calibri" w:hAnsi="Calibri" w:cs="Arial"/>
      <w:b/>
      <w:color w:val="228591"/>
      <w:sz w:val="28"/>
      <w:szCs w:val="24"/>
    </w:rPr>
  </w:style>
  <w:style w:type="paragraph" w:customStyle="1" w:styleId="HC">
    <w:name w:val="_HC"/>
    <w:next w:val="Body"/>
    <w:uiPriority w:val="2"/>
    <w:qFormat/>
    <w:rsid w:val="00581BD7"/>
    <w:pPr>
      <w:spacing w:before="140" w:after="57" w:line="220" w:lineRule="atLeast"/>
    </w:pPr>
    <w:rPr>
      <w:rFonts w:ascii="Calibri" w:hAnsi="Calibri" w:cs="Arial"/>
      <w:b/>
      <w:sz w:val="24"/>
      <w:szCs w:val="24"/>
    </w:rPr>
  </w:style>
  <w:style w:type="paragraph" w:customStyle="1" w:styleId="HD">
    <w:name w:val="_HD"/>
    <w:next w:val="Body"/>
    <w:uiPriority w:val="2"/>
    <w:qFormat/>
    <w:rsid w:val="00581BD7"/>
    <w:pPr>
      <w:spacing w:before="57" w:after="57" w:line="220" w:lineRule="atLeast"/>
    </w:pPr>
    <w:rPr>
      <w:rFonts w:ascii="Calibri" w:hAnsi="Calibri" w:cs="Arial"/>
      <w:b/>
      <w:i/>
      <w:sz w:val="22"/>
      <w:szCs w:val="24"/>
    </w:rPr>
  </w:style>
  <w:style w:type="paragraph" w:customStyle="1" w:styleId="Pullout">
    <w:name w:val="_Pullout"/>
    <w:rsid w:val="005D1571"/>
    <w:pPr>
      <w:spacing w:before="85" w:after="170" w:line="300" w:lineRule="atLeast"/>
    </w:pPr>
    <w:rPr>
      <w:rFonts w:ascii="Calibri" w:hAnsi="Calibri" w:cs="Arial"/>
      <w:color w:val="228591"/>
      <w:sz w:val="24"/>
      <w:szCs w:val="24"/>
    </w:rPr>
  </w:style>
  <w:style w:type="paragraph" w:customStyle="1" w:styleId="TableTitle">
    <w:name w:val="_TableTitle"/>
    <w:qFormat/>
    <w:rsid w:val="00581BD7"/>
    <w:pPr>
      <w:spacing w:after="120" w:line="220" w:lineRule="atLeast"/>
    </w:pPr>
    <w:rPr>
      <w:rFonts w:ascii="Calibri" w:hAnsi="Calibri" w:cs="Arial"/>
      <w:b/>
      <w:color w:val="404040"/>
      <w:sz w:val="22"/>
      <w:szCs w:val="18"/>
    </w:rPr>
  </w:style>
  <w:style w:type="paragraph" w:customStyle="1" w:styleId="TblBdy">
    <w:name w:val="_TblBdy"/>
    <w:uiPriority w:val="1"/>
    <w:qFormat/>
    <w:rsid w:val="00581BD7"/>
    <w:pPr>
      <w:spacing w:before="80" w:after="60"/>
    </w:pPr>
    <w:rPr>
      <w:rFonts w:ascii="Calibri" w:hAnsi="Calibri" w:cs="Arial"/>
      <w:sz w:val="22"/>
      <w:szCs w:val="24"/>
    </w:rPr>
  </w:style>
  <w:style w:type="paragraph" w:customStyle="1" w:styleId="TblBllt">
    <w:name w:val="_TblBllt"/>
    <w:basedOn w:val="TblBdy"/>
    <w:uiPriority w:val="1"/>
    <w:qFormat/>
    <w:rsid w:val="00581BD7"/>
    <w:pPr>
      <w:numPr>
        <w:numId w:val="12"/>
      </w:numPr>
    </w:pPr>
  </w:style>
  <w:style w:type="paragraph" w:customStyle="1" w:styleId="TblHd">
    <w:name w:val="_TblHd"/>
    <w:qFormat/>
    <w:rsid w:val="00581BD7"/>
    <w:pPr>
      <w:spacing w:before="60" w:after="60" w:line="230" w:lineRule="atLeast"/>
    </w:pPr>
    <w:rPr>
      <w:rFonts w:ascii="Calibri" w:hAnsi="Calibri" w:cs="Arial"/>
      <w:b/>
      <w:sz w:val="22"/>
      <w:szCs w:val="24"/>
    </w:rPr>
  </w:style>
  <w:style w:type="character" w:customStyle="1" w:styleId="Heading1Char">
    <w:name w:val="Heading 1 Char"/>
    <w:basedOn w:val="DefaultParagraphFont"/>
    <w:link w:val="Heading1"/>
    <w:rsid w:val="00581BD7"/>
    <w:rPr>
      <w:rFonts w:ascii="Arial" w:hAnsi="Arial" w:cs="Arial"/>
      <w:b/>
      <w:bCs/>
      <w:kern w:val="32"/>
      <w:sz w:val="32"/>
      <w:szCs w:val="32"/>
    </w:rPr>
  </w:style>
  <w:style w:type="character" w:customStyle="1" w:styleId="Heading2Char">
    <w:name w:val="Heading 2 Char"/>
    <w:basedOn w:val="DefaultParagraphFont"/>
    <w:link w:val="Heading2"/>
    <w:rsid w:val="00581BD7"/>
    <w:rPr>
      <w:rFonts w:ascii="Arial" w:hAnsi="Arial" w:cs="Arial"/>
      <w:b/>
      <w:bCs/>
      <w:i/>
      <w:iCs/>
      <w:sz w:val="28"/>
      <w:szCs w:val="28"/>
    </w:rPr>
  </w:style>
  <w:style w:type="character" w:customStyle="1" w:styleId="Heading3Char">
    <w:name w:val="Heading 3 Char"/>
    <w:basedOn w:val="DefaultParagraphFont"/>
    <w:link w:val="Heading3"/>
    <w:rsid w:val="00581BD7"/>
    <w:rPr>
      <w:rFonts w:ascii="Arial" w:hAnsi="Arial" w:cs="Arial"/>
      <w:b/>
      <w:bCs/>
      <w:sz w:val="26"/>
      <w:szCs w:val="26"/>
    </w:rPr>
  </w:style>
  <w:style w:type="character" w:customStyle="1" w:styleId="Heading4Char">
    <w:name w:val="Heading 4 Char"/>
    <w:basedOn w:val="DefaultParagraphFont"/>
    <w:link w:val="Heading4"/>
    <w:rsid w:val="00581BD7"/>
    <w:rPr>
      <w:rFonts w:ascii="Calibri" w:hAnsi="Calibri"/>
      <w:b/>
      <w:bCs/>
      <w:sz w:val="28"/>
      <w:szCs w:val="28"/>
    </w:rPr>
  </w:style>
  <w:style w:type="character" w:customStyle="1" w:styleId="Heading5Char">
    <w:name w:val="Heading 5 Char"/>
    <w:basedOn w:val="DefaultParagraphFont"/>
    <w:link w:val="Heading5"/>
    <w:rsid w:val="00581BD7"/>
    <w:rPr>
      <w:rFonts w:ascii="Calibri" w:hAnsi="Calibri"/>
      <w:b/>
      <w:bCs/>
      <w:i/>
      <w:iCs/>
      <w:sz w:val="26"/>
      <w:szCs w:val="26"/>
    </w:rPr>
  </w:style>
  <w:style w:type="character" w:customStyle="1" w:styleId="Heading6Char">
    <w:name w:val="Heading 6 Char"/>
    <w:basedOn w:val="DefaultParagraphFont"/>
    <w:link w:val="Heading6"/>
    <w:rsid w:val="00581BD7"/>
    <w:rPr>
      <w:rFonts w:ascii="Calibri" w:hAnsi="Calibri"/>
      <w:b/>
      <w:bCs/>
      <w:sz w:val="22"/>
      <w:szCs w:val="22"/>
    </w:rPr>
  </w:style>
  <w:style w:type="character" w:customStyle="1" w:styleId="Heading7Char">
    <w:name w:val="Heading 7 Char"/>
    <w:basedOn w:val="DefaultParagraphFont"/>
    <w:link w:val="Heading7"/>
    <w:rsid w:val="00581BD7"/>
    <w:rPr>
      <w:rFonts w:ascii="Calibri" w:hAnsi="Calibri"/>
      <w:sz w:val="22"/>
      <w:szCs w:val="24"/>
    </w:rPr>
  </w:style>
  <w:style w:type="character" w:customStyle="1" w:styleId="Heading8Char">
    <w:name w:val="Heading 8 Char"/>
    <w:basedOn w:val="DefaultParagraphFont"/>
    <w:link w:val="Heading8"/>
    <w:rsid w:val="00581BD7"/>
    <w:rPr>
      <w:rFonts w:ascii="Calibri" w:hAnsi="Calibri"/>
      <w:i/>
      <w:iCs/>
      <w:sz w:val="22"/>
      <w:szCs w:val="24"/>
    </w:rPr>
  </w:style>
  <w:style w:type="character" w:customStyle="1" w:styleId="Heading9Char">
    <w:name w:val="Heading 9 Char"/>
    <w:basedOn w:val="DefaultParagraphFont"/>
    <w:link w:val="Heading9"/>
    <w:rsid w:val="00581BD7"/>
    <w:rPr>
      <w:rFonts w:ascii="Arial" w:hAnsi="Arial" w:cs="Arial"/>
      <w:sz w:val="22"/>
      <w:szCs w:val="22"/>
    </w:rPr>
  </w:style>
  <w:style w:type="paragraph" w:styleId="Title">
    <w:name w:val="Title"/>
    <w:basedOn w:val="Normal"/>
    <w:link w:val="TitleChar"/>
    <w:qFormat/>
    <w:rsid w:val="00115795"/>
    <w:pPr>
      <w:spacing w:before="240" w:after="60"/>
      <w:outlineLvl w:val="0"/>
    </w:pPr>
    <w:rPr>
      <w:rFonts w:cs="Arial"/>
      <w:bCs/>
      <w:color w:val="FFFFFF" w:themeColor="background1"/>
      <w:kern w:val="28"/>
      <w:sz w:val="72"/>
      <w:szCs w:val="32"/>
    </w:rPr>
  </w:style>
  <w:style w:type="character" w:customStyle="1" w:styleId="TitleChar">
    <w:name w:val="Title Char"/>
    <w:basedOn w:val="DefaultParagraphFont"/>
    <w:link w:val="Title"/>
    <w:rsid w:val="00581BD7"/>
    <w:rPr>
      <w:rFonts w:ascii="Calibri" w:hAnsi="Calibri" w:cs="Arial"/>
      <w:bCs/>
      <w:color w:val="FFFFFF" w:themeColor="background1"/>
      <w:kern w:val="28"/>
      <w:sz w:val="72"/>
      <w:szCs w:val="32"/>
    </w:rPr>
  </w:style>
  <w:style w:type="paragraph" w:styleId="Subtitle">
    <w:name w:val="Subtitle"/>
    <w:basedOn w:val="Normal"/>
    <w:link w:val="SubtitleChar"/>
    <w:qFormat/>
    <w:rsid w:val="00581BD7"/>
    <w:pPr>
      <w:spacing w:after="60"/>
      <w:jc w:val="center"/>
      <w:outlineLvl w:val="1"/>
    </w:pPr>
    <w:rPr>
      <w:rFonts w:cs="Arial"/>
    </w:rPr>
  </w:style>
  <w:style w:type="character" w:customStyle="1" w:styleId="SubtitleChar">
    <w:name w:val="Subtitle Char"/>
    <w:basedOn w:val="DefaultParagraphFont"/>
    <w:link w:val="Subtitle"/>
    <w:rsid w:val="00581BD7"/>
    <w:rPr>
      <w:rFonts w:ascii="Calibri" w:hAnsi="Calibri" w:cs="Arial"/>
      <w:sz w:val="22"/>
      <w:szCs w:val="24"/>
    </w:rPr>
  </w:style>
  <w:style w:type="character" w:styleId="Strong">
    <w:name w:val="Strong"/>
    <w:qFormat/>
    <w:rsid w:val="00581BD7"/>
    <w:rPr>
      <w:b/>
      <w:bCs/>
    </w:rPr>
  </w:style>
  <w:style w:type="character" w:styleId="Emphasis">
    <w:name w:val="Emphasis"/>
    <w:qFormat/>
    <w:rsid w:val="00581BD7"/>
    <w:rPr>
      <w:i/>
      <w:iCs/>
    </w:rPr>
  </w:style>
  <w:style w:type="paragraph" w:styleId="Revision">
    <w:name w:val="Revision"/>
    <w:hidden/>
    <w:uiPriority w:val="99"/>
    <w:semiHidden/>
    <w:rsid w:val="0036560E"/>
    <w:rPr>
      <w:rFonts w:ascii="Calibri" w:hAnsi="Calibri"/>
      <w:sz w:val="22"/>
      <w:szCs w:val="24"/>
    </w:rPr>
  </w:style>
  <w:style w:type="character" w:styleId="Hyperlink">
    <w:name w:val="Hyperlink"/>
    <w:basedOn w:val="DefaultParagraphFont"/>
    <w:uiPriority w:val="99"/>
    <w:unhideWhenUsed/>
    <w:rsid w:val="0074483F"/>
    <w:rPr>
      <w:color w:val="0000FF" w:themeColor="hyperlink"/>
      <w:u w:val="single"/>
    </w:rPr>
  </w:style>
  <w:style w:type="paragraph" w:customStyle="1" w:styleId="Body2">
    <w:name w:val="_Body2"/>
    <w:basedOn w:val="Normal"/>
    <w:link w:val="Body2Char"/>
    <w:uiPriority w:val="9"/>
    <w:qFormat/>
    <w:rsid w:val="004C1F9A"/>
    <w:pPr>
      <w:spacing w:after="113" w:line="240" w:lineRule="atLeast"/>
    </w:pPr>
    <w:rPr>
      <w:rFonts w:cs="Arial"/>
      <w:szCs w:val="22"/>
    </w:rPr>
  </w:style>
  <w:style w:type="character" w:customStyle="1" w:styleId="Body2Char">
    <w:name w:val="_Body2 Char"/>
    <w:basedOn w:val="DefaultParagraphFont"/>
    <w:link w:val="Body2"/>
    <w:uiPriority w:val="9"/>
    <w:rsid w:val="004C1F9A"/>
    <w:rPr>
      <w:rFonts w:ascii="Calibri" w:hAnsi="Calibri" w:cs="Arial"/>
      <w:sz w:val="22"/>
      <w:szCs w:val="22"/>
    </w:rPr>
  </w:style>
  <w:style w:type="character" w:styleId="SubtleEmphasis">
    <w:name w:val="Subtle Emphasis"/>
    <w:basedOn w:val="DefaultParagraphFont"/>
    <w:uiPriority w:val="19"/>
    <w:qFormat/>
    <w:rsid w:val="004C1F9A"/>
    <w:rPr>
      <w:rFonts w:ascii="Calibri" w:hAnsi="Calibri"/>
      <w:i/>
      <w:iCs/>
      <w:color w:val="808080" w:themeColor="text1" w:themeTint="7F"/>
    </w:rPr>
  </w:style>
  <w:style w:type="character" w:styleId="IntenseEmphasis">
    <w:name w:val="Intense Emphasis"/>
    <w:basedOn w:val="DefaultParagraphFont"/>
    <w:uiPriority w:val="21"/>
    <w:qFormat/>
    <w:rsid w:val="004C1F9A"/>
    <w:rPr>
      <w:rFonts w:ascii="Calibri" w:hAnsi="Calibri"/>
      <w:b/>
      <w:bCs/>
      <w:i/>
      <w:iCs/>
      <w:color w:val="228591"/>
    </w:rPr>
  </w:style>
  <w:style w:type="character" w:styleId="BookTitle">
    <w:name w:val="Book Title"/>
    <w:basedOn w:val="DefaultParagraphFont"/>
    <w:uiPriority w:val="33"/>
    <w:qFormat/>
    <w:rsid w:val="004C1F9A"/>
    <w:rPr>
      <w:rFonts w:ascii="Calibri" w:hAnsi="Calibri"/>
      <w:b/>
      <w:bCs/>
      <w:smallCaps/>
      <w:spacing w:val="5"/>
    </w:rPr>
  </w:style>
  <w:style w:type="paragraph" w:customStyle="1" w:styleId="Bold">
    <w:name w:val="Bold"/>
    <w:basedOn w:val="Normal"/>
    <w:rsid w:val="009C38F8"/>
    <w:rPr>
      <w:rFonts w:ascii="Times New Roman" w:hAnsi="Times New Roman"/>
      <w:b/>
      <w:sz w:val="24"/>
      <w:szCs w:val="20"/>
      <w:lang w:eastAsia="en-AU"/>
    </w:rPr>
  </w:style>
  <w:style w:type="paragraph" w:customStyle="1" w:styleId="Default">
    <w:name w:val="Default"/>
    <w:rsid w:val="004352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364722">
      <w:bodyDiv w:val="1"/>
      <w:marLeft w:val="0"/>
      <w:marRight w:val="0"/>
      <w:marTop w:val="0"/>
      <w:marBottom w:val="0"/>
      <w:divBdr>
        <w:top w:val="none" w:sz="0" w:space="0" w:color="auto"/>
        <w:left w:val="none" w:sz="0" w:space="0" w:color="auto"/>
        <w:bottom w:val="none" w:sz="0" w:space="0" w:color="auto"/>
        <w:right w:val="none" w:sz="0" w:space="0" w:color="auto"/>
      </w:divBdr>
      <w:divsChild>
        <w:div w:id="297951463">
          <w:marLeft w:val="0"/>
          <w:marRight w:val="0"/>
          <w:marTop w:val="0"/>
          <w:marBottom w:val="0"/>
          <w:divBdr>
            <w:top w:val="none" w:sz="0" w:space="0" w:color="auto"/>
            <w:left w:val="none" w:sz="0" w:space="0" w:color="auto"/>
            <w:bottom w:val="none" w:sz="0" w:space="0" w:color="auto"/>
            <w:right w:val="none" w:sz="0" w:space="0" w:color="auto"/>
          </w:divBdr>
          <w:divsChild>
            <w:div w:id="1607881744">
              <w:marLeft w:val="0"/>
              <w:marRight w:val="0"/>
              <w:marTop w:val="0"/>
              <w:marBottom w:val="0"/>
              <w:divBdr>
                <w:top w:val="none" w:sz="0" w:space="0" w:color="auto"/>
                <w:left w:val="none" w:sz="0" w:space="0" w:color="auto"/>
                <w:bottom w:val="none" w:sz="0" w:space="0" w:color="auto"/>
                <w:right w:val="none" w:sz="0" w:space="0" w:color="auto"/>
              </w:divBdr>
              <w:divsChild>
                <w:div w:id="33388625">
                  <w:marLeft w:val="-300"/>
                  <w:marRight w:val="0"/>
                  <w:marTop w:val="0"/>
                  <w:marBottom w:val="0"/>
                  <w:divBdr>
                    <w:top w:val="none" w:sz="0" w:space="0" w:color="auto"/>
                    <w:left w:val="none" w:sz="0" w:space="0" w:color="auto"/>
                    <w:bottom w:val="none" w:sz="0" w:space="0" w:color="auto"/>
                    <w:right w:val="none" w:sz="0" w:space="0" w:color="auto"/>
                  </w:divBdr>
                  <w:divsChild>
                    <w:div w:id="636761092">
                      <w:marLeft w:val="0"/>
                      <w:marRight w:val="0"/>
                      <w:marTop w:val="0"/>
                      <w:marBottom w:val="0"/>
                      <w:divBdr>
                        <w:top w:val="none" w:sz="0" w:space="0" w:color="auto"/>
                        <w:left w:val="none" w:sz="0" w:space="0" w:color="auto"/>
                        <w:bottom w:val="none" w:sz="0" w:space="0" w:color="auto"/>
                        <w:right w:val="none" w:sz="0" w:space="0" w:color="auto"/>
                      </w:divBdr>
                      <w:divsChild>
                        <w:div w:id="2013414766">
                          <w:marLeft w:val="0"/>
                          <w:marRight w:val="0"/>
                          <w:marTop w:val="0"/>
                          <w:marBottom w:val="450"/>
                          <w:divBdr>
                            <w:top w:val="none" w:sz="0" w:space="0" w:color="auto"/>
                            <w:left w:val="none" w:sz="0" w:space="0" w:color="auto"/>
                            <w:bottom w:val="none" w:sz="0" w:space="0" w:color="auto"/>
                            <w:right w:val="none" w:sz="0" w:space="0" w:color="auto"/>
                          </w:divBdr>
                          <w:divsChild>
                            <w:div w:id="16732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4E82-791F-4666-B4AB-6A6B13F8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Alainnah Calabro</dc:creator>
  <cp:lastModifiedBy>Anna P Drutschinin (DELWP)</cp:lastModifiedBy>
  <cp:revision>3</cp:revision>
  <cp:lastPrinted>2017-09-27T09:12:00Z</cp:lastPrinted>
  <dcterms:created xsi:type="dcterms:W3CDTF">2019-05-22T03:07:00Z</dcterms:created>
  <dcterms:modified xsi:type="dcterms:W3CDTF">2019-05-22T03:08:00Z</dcterms:modified>
</cp:coreProperties>
</file>