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6A9B" w14:textId="0FCF7C23" w:rsidR="007968FE" w:rsidRPr="00152AD2" w:rsidRDefault="00241D6A" w:rsidP="00241D6A">
      <w:pPr>
        <w:pStyle w:val="Title"/>
        <w:spacing w:after="600"/>
        <w:rPr>
          <w:lang w:val="en-AU"/>
        </w:rPr>
      </w:pPr>
      <w:r w:rsidRPr="00152AD2">
        <w:rPr>
          <w:lang w:val="en-AU"/>
        </w:rPr>
        <w:t>Victorian Greenhouse</w:t>
      </w:r>
      <w:r w:rsidRPr="00152AD2">
        <w:rPr>
          <w:lang w:val="en-AU"/>
        </w:rPr>
        <w:br/>
        <w:t>Gas Emissions Report 2023</w:t>
      </w:r>
    </w:p>
    <w:p w14:paraId="0661C103" w14:textId="77777777" w:rsidR="00A51AD4" w:rsidRPr="00152AD2" w:rsidRDefault="00A51AD4" w:rsidP="00A51AD4">
      <w:pPr>
        <w:pStyle w:val="TOAHeading"/>
      </w:pPr>
      <w:r w:rsidRPr="00152AD2">
        <w:t>Table of Contents</w:t>
      </w:r>
    </w:p>
    <w:p w14:paraId="5E56AC76" w14:textId="22F449A4" w:rsidR="00115A99" w:rsidRPr="00152AD2" w:rsidRDefault="00C81AC2">
      <w:pPr>
        <w:pStyle w:val="TOC1"/>
        <w:tabs>
          <w:tab w:val="right" w:leader="dot" w:pos="9628"/>
        </w:tabs>
        <w:rPr>
          <w:rFonts w:asciiTheme="minorHAnsi" w:hAnsiTheme="minorHAnsi" w:cstheme="minorBidi"/>
          <w:b w:val="0"/>
          <w:bCs w:val="0"/>
          <w:kern w:val="2"/>
          <w:lang w:eastAsia="en-GB"/>
          <w14:ligatures w14:val="standardContextual"/>
        </w:rPr>
      </w:pPr>
      <w:r w:rsidRPr="00152AD2">
        <w:rPr>
          <w:rFonts w:cstheme="majorHAnsi"/>
          <w:b w:val="0"/>
          <w:bCs w:val="0"/>
          <w:sz w:val="28"/>
        </w:rPr>
        <w:fldChar w:fldCharType="begin"/>
      </w:r>
      <w:r w:rsidRPr="00152AD2">
        <w:rPr>
          <w:rFonts w:cstheme="majorHAnsi"/>
          <w:b w:val="0"/>
          <w:bCs w:val="0"/>
          <w:sz w:val="28"/>
        </w:rPr>
        <w:instrText xml:space="preserve"> TOC \o "1-3" \h \z \u </w:instrText>
      </w:r>
      <w:r w:rsidRPr="00152AD2">
        <w:rPr>
          <w:rFonts w:cstheme="majorHAnsi"/>
          <w:b w:val="0"/>
          <w:bCs w:val="0"/>
          <w:sz w:val="28"/>
        </w:rPr>
        <w:fldChar w:fldCharType="separate"/>
      </w:r>
      <w:hyperlink w:anchor="_Toc205897585" w:history="1">
        <w:r w:rsidR="00115A99" w:rsidRPr="00152AD2">
          <w:rPr>
            <w:rStyle w:val="Hyperlink"/>
          </w:rPr>
          <w:t>Minister’s foreword</w:t>
        </w:r>
        <w:r w:rsidR="00115A99" w:rsidRPr="00152AD2">
          <w:rPr>
            <w:webHidden/>
          </w:rPr>
          <w:tab/>
        </w:r>
        <w:r w:rsidR="00115A99" w:rsidRPr="00152AD2">
          <w:rPr>
            <w:webHidden/>
          </w:rPr>
          <w:fldChar w:fldCharType="begin"/>
        </w:r>
        <w:r w:rsidR="00115A99" w:rsidRPr="00152AD2">
          <w:rPr>
            <w:webHidden/>
          </w:rPr>
          <w:instrText xml:space="preserve"> PAGEREF _Toc205897585 \h </w:instrText>
        </w:r>
        <w:r w:rsidR="00115A99" w:rsidRPr="00152AD2">
          <w:rPr>
            <w:webHidden/>
          </w:rPr>
        </w:r>
        <w:r w:rsidR="00115A99" w:rsidRPr="00152AD2">
          <w:rPr>
            <w:webHidden/>
          </w:rPr>
          <w:fldChar w:fldCharType="separate"/>
        </w:r>
        <w:r w:rsidR="00115A99" w:rsidRPr="00152AD2">
          <w:rPr>
            <w:webHidden/>
          </w:rPr>
          <w:t>3</w:t>
        </w:r>
        <w:r w:rsidR="00115A99" w:rsidRPr="00152AD2">
          <w:rPr>
            <w:webHidden/>
          </w:rPr>
          <w:fldChar w:fldCharType="end"/>
        </w:r>
      </w:hyperlink>
    </w:p>
    <w:p w14:paraId="3E231172" w14:textId="434621B7" w:rsidR="00115A99" w:rsidRPr="00152AD2" w:rsidRDefault="00115A99">
      <w:pPr>
        <w:pStyle w:val="TOC1"/>
        <w:tabs>
          <w:tab w:val="right" w:leader="dot" w:pos="9628"/>
        </w:tabs>
        <w:rPr>
          <w:rFonts w:asciiTheme="minorHAnsi" w:hAnsiTheme="minorHAnsi" w:cstheme="minorBidi"/>
          <w:b w:val="0"/>
          <w:bCs w:val="0"/>
          <w:kern w:val="2"/>
          <w:lang w:eastAsia="en-GB"/>
          <w14:ligatures w14:val="standardContextual"/>
        </w:rPr>
      </w:pPr>
      <w:hyperlink w:anchor="_Toc205897586" w:history="1">
        <w:r w:rsidRPr="00152AD2">
          <w:rPr>
            <w:rStyle w:val="Hyperlink"/>
          </w:rPr>
          <w:t>Victoria’s greenhouse gas emissions report</w:t>
        </w:r>
        <w:r w:rsidRPr="00152AD2">
          <w:rPr>
            <w:webHidden/>
          </w:rPr>
          <w:tab/>
        </w:r>
        <w:r w:rsidRPr="00152AD2">
          <w:rPr>
            <w:webHidden/>
          </w:rPr>
          <w:fldChar w:fldCharType="begin"/>
        </w:r>
        <w:r w:rsidRPr="00152AD2">
          <w:rPr>
            <w:webHidden/>
          </w:rPr>
          <w:instrText xml:space="preserve"> PAGEREF _Toc205897586 \h </w:instrText>
        </w:r>
        <w:r w:rsidRPr="00152AD2">
          <w:rPr>
            <w:webHidden/>
          </w:rPr>
        </w:r>
        <w:r w:rsidRPr="00152AD2">
          <w:rPr>
            <w:webHidden/>
          </w:rPr>
          <w:fldChar w:fldCharType="separate"/>
        </w:r>
        <w:r w:rsidRPr="00152AD2">
          <w:rPr>
            <w:webHidden/>
          </w:rPr>
          <w:t>5</w:t>
        </w:r>
        <w:r w:rsidRPr="00152AD2">
          <w:rPr>
            <w:webHidden/>
          </w:rPr>
          <w:fldChar w:fldCharType="end"/>
        </w:r>
      </w:hyperlink>
    </w:p>
    <w:p w14:paraId="62610F70" w14:textId="29635FC8" w:rsidR="00115A99" w:rsidRPr="00152AD2" w:rsidRDefault="00115A99">
      <w:pPr>
        <w:pStyle w:val="TOC1"/>
        <w:tabs>
          <w:tab w:val="right" w:leader="dot" w:pos="9628"/>
        </w:tabs>
        <w:rPr>
          <w:rFonts w:asciiTheme="minorHAnsi" w:hAnsiTheme="minorHAnsi" w:cstheme="minorBidi"/>
          <w:b w:val="0"/>
          <w:bCs w:val="0"/>
          <w:kern w:val="2"/>
          <w:lang w:eastAsia="en-GB"/>
          <w14:ligatures w14:val="standardContextual"/>
        </w:rPr>
      </w:pPr>
      <w:hyperlink w:anchor="_Toc205897587" w:history="1">
        <w:r w:rsidRPr="00152AD2">
          <w:rPr>
            <w:rStyle w:val="Hyperlink"/>
          </w:rPr>
          <w:t>Victoria has cut emissions by almost a third since 2005</w:t>
        </w:r>
        <w:r w:rsidRPr="00152AD2">
          <w:rPr>
            <w:webHidden/>
          </w:rPr>
          <w:tab/>
        </w:r>
        <w:r w:rsidRPr="00152AD2">
          <w:rPr>
            <w:webHidden/>
          </w:rPr>
          <w:fldChar w:fldCharType="begin"/>
        </w:r>
        <w:r w:rsidRPr="00152AD2">
          <w:rPr>
            <w:webHidden/>
          </w:rPr>
          <w:instrText xml:space="preserve"> PAGEREF _Toc205897587 \h </w:instrText>
        </w:r>
        <w:r w:rsidRPr="00152AD2">
          <w:rPr>
            <w:webHidden/>
          </w:rPr>
        </w:r>
        <w:r w:rsidRPr="00152AD2">
          <w:rPr>
            <w:webHidden/>
          </w:rPr>
          <w:fldChar w:fldCharType="separate"/>
        </w:r>
        <w:r w:rsidRPr="00152AD2">
          <w:rPr>
            <w:webHidden/>
          </w:rPr>
          <w:t>6</w:t>
        </w:r>
        <w:r w:rsidRPr="00152AD2">
          <w:rPr>
            <w:webHidden/>
          </w:rPr>
          <w:fldChar w:fldCharType="end"/>
        </w:r>
      </w:hyperlink>
    </w:p>
    <w:p w14:paraId="409A3166" w14:textId="12533731"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88" w:history="1">
        <w:r w:rsidRPr="00152AD2">
          <w:rPr>
            <w:rStyle w:val="Hyperlink"/>
          </w:rPr>
          <w:t>Unpacking emissions reporting</w:t>
        </w:r>
        <w:r w:rsidRPr="00152AD2">
          <w:rPr>
            <w:webHidden/>
          </w:rPr>
          <w:tab/>
        </w:r>
        <w:r w:rsidRPr="00152AD2">
          <w:rPr>
            <w:webHidden/>
          </w:rPr>
          <w:fldChar w:fldCharType="begin"/>
        </w:r>
        <w:r w:rsidRPr="00152AD2">
          <w:rPr>
            <w:webHidden/>
          </w:rPr>
          <w:instrText xml:space="preserve"> PAGEREF _Toc205897588 \h </w:instrText>
        </w:r>
        <w:r w:rsidRPr="00152AD2">
          <w:rPr>
            <w:webHidden/>
          </w:rPr>
        </w:r>
        <w:r w:rsidRPr="00152AD2">
          <w:rPr>
            <w:webHidden/>
          </w:rPr>
          <w:fldChar w:fldCharType="separate"/>
        </w:r>
        <w:r w:rsidRPr="00152AD2">
          <w:rPr>
            <w:webHidden/>
          </w:rPr>
          <w:t>6</w:t>
        </w:r>
        <w:r w:rsidRPr="00152AD2">
          <w:rPr>
            <w:webHidden/>
          </w:rPr>
          <w:fldChar w:fldCharType="end"/>
        </w:r>
      </w:hyperlink>
    </w:p>
    <w:p w14:paraId="7665FD9A" w14:textId="46D5E4C2"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89" w:history="1">
        <w:r w:rsidRPr="00152AD2">
          <w:rPr>
            <w:rStyle w:val="Hyperlink"/>
          </w:rPr>
          <w:t>Victorians emit fewer greenhouse gases than the national average</w:t>
        </w:r>
        <w:r w:rsidRPr="00152AD2">
          <w:rPr>
            <w:webHidden/>
          </w:rPr>
          <w:tab/>
        </w:r>
        <w:r w:rsidRPr="00152AD2">
          <w:rPr>
            <w:webHidden/>
          </w:rPr>
          <w:fldChar w:fldCharType="begin"/>
        </w:r>
        <w:r w:rsidRPr="00152AD2">
          <w:rPr>
            <w:webHidden/>
          </w:rPr>
          <w:instrText xml:space="preserve"> PAGEREF _Toc205897589 \h </w:instrText>
        </w:r>
        <w:r w:rsidRPr="00152AD2">
          <w:rPr>
            <w:webHidden/>
          </w:rPr>
        </w:r>
        <w:r w:rsidRPr="00152AD2">
          <w:rPr>
            <w:webHidden/>
          </w:rPr>
          <w:fldChar w:fldCharType="separate"/>
        </w:r>
        <w:r w:rsidRPr="00152AD2">
          <w:rPr>
            <w:webHidden/>
          </w:rPr>
          <w:t>7</w:t>
        </w:r>
        <w:r w:rsidRPr="00152AD2">
          <w:rPr>
            <w:webHidden/>
          </w:rPr>
          <w:fldChar w:fldCharType="end"/>
        </w:r>
      </w:hyperlink>
    </w:p>
    <w:p w14:paraId="41BEFE32" w14:textId="55FBB0F5"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0" w:history="1">
        <w:r w:rsidRPr="00152AD2">
          <w:rPr>
            <w:rStyle w:val="Hyperlink"/>
          </w:rPr>
          <w:t>Victoria’s population and economy are growing, yet emissions are falling</w:t>
        </w:r>
        <w:r w:rsidRPr="00152AD2">
          <w:rPr>
            <w:webHidden/>
          </w:rPr>
          <w:tab/>
        </w:r>
        <w:r w:rsidRPr="00152AD2">
          <w:rPr>
            <w:webHidden/>
          </w:rPr>
          <w:fldChar w:fldCharType="begin"/>
        </w:r>
        <w:r w:rsidRPr="00152AD2">
          <w:rPr>
            <w:webHidden/>
          </w:rPr>
          <w:instrText xml:space="preserve"> PAGEREF _Toc205897590 \h </w:instrText>
        </w:r>
        <w:r w:rsidRPr="00152AD2">
          <w:rPr>
            <w:webHidden/>
          </w:rPr>
        </w:r>
        <w:r w:rsidRPr="00152AD2">
          <w:rPr>
            <w:webHidden/>
          </w:rPr>
          <w:fldChar w:fldCharType="separate"/>
        </w:r>
        <w:r w:rsidRPr="00152AD2">
          <w:rPr>
            <w:webHidden/>
          </w:rPr>
          <w:t>8</w:t>
        </w:r>
        <w:r w:rsidRPr="00152AD2">
          <w:rPr>
            <w:webHidden/>
          </w:rPr>
          <w:fldChar w:fldCharType="end"/>
        </w:r>
      </w:hyperlink>
    </w:p>
    <w:p w14:paraId="572AAABD" w14:textId="7E464BAB" w:rsidR="00115A99" w:rsidRPr="00152AD2" w:rsidRDefault="00115A99">
      <w:pPr>
        <w:pStyle w:val="TOC1"/>
        <w:tabs>
          <w:tab w:val="right" w:leader="dot" w:pos="9628"/>
        </w:tabs>
        <w:rPr>
          <w:rFonts w:asciiTheme="minorHAnsi" w:hAnsiTheme="minorHAnsi" w:cstheme="minorBidi"/>
          <w:b w:val="0"/>
          <w:bCs w:val="0"/>
          <w:kern w:val="2"/>
          <w:lang w:eastAsia="en-GB"/>
          <w14:ligatures w14:val="standardContextual"/>
        </w:rPr>
      </w:pPr>
      <w:hyperlink w:anchor="_Toc205897591" w:history="1">
        <w:r w:rsidRPr="00152AD2">
          <w:rPr>
            <w:rStyle w:val="Hyperlink"/>
          </w:rPr>
          <w:t>The sources of Victoria’s emissions</w:t>
        </w:r>
        <w:r w:rsidRPr="00152AD2">
          <w:rPr>
            <w:webHidden/>
          </w:rPr>
          <w:tab/>
        </w:r>
        <w:r w:rsidRPr="00152AD2">
          <w:rPr>
            <w:webHidden/>
          </w:rPr>
          <w:fldChar w:fldCharType="begin"/>
        </w:r>
        <w:r w:rsidRPr="00152AD2">
          <w:rPr>
            <w:webHidden/>
          </w:rPr>
          <w:instrText xml:space="preserve"> PAGEREF _Toc205897591 \h </w:instrText>
        </w:r>
        <w:r w:rsidRPr="00152AD2">
          <w:rPr>
            <w:webHidden/>
          </w:rPr>
        </w:r>
        <w:r w:rsidRPr="00152AD2">
          <w:rPr>
            <w:webHidden/>
          </w:rPr>
          <w:fldChar w:fldCharType="separate"/>
        </w:r>
        <w:r w:rsidRPr="00152AD2">
          <w:rPr>
            <w:webHidden/>
          </w:rPr>
          <w:t>10</w:t>
        </w:r>
        <w:r w:rsidRPr="00152AD2">
          <w:rPr>
            <w:webHidden/>
          </w:rPr>
          <w:fldChar w:fldCharType="end"/>
        </w:r>
      </w:hyperlink>
    </w:p>
    <w:p w14:paraId="1AE5080D" w14:textId="31B0D913"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2" w:history="1">
        <w:r w:rsidRPr="00152AD2">
          <w:rPr>
            <w:rStyle w:val="Hyperlink"/>
          </w:rPr>
          <w:t>Emissions sectors</w:t>
        </w:r>
        <w:r w:rsidRPr="00152AD2">
          <w:rPr>
            <w:webHidden/>
          </w:rPr>
          <w:tab/>
        </w:r>
        <w:r w:rsidRPr="00152AD2">
          <w:rPr>
            <w:webHidden/>
          </w:rPr>
          <w:fldChar w:fldCharType="begin"/>
        </w:r>
        <w:r w:rsidRPr="00152AD2">
          <w:rPr>
            <w:webHidden/>
          </w:rPr>
          <w:instrText xml:space="preserve"> PAGEREF _Toc205897592 \h </w:instrText>
        </w:r>
        <w:r w:rsidRPr="00152AD2">
          <w:rPr>
            <w:webHidden/>
          </w:rPr>
        </w:r>
        <w:r w:rsidRPr="00152AD2">
          <w:rPr>
            <w:webHidden/>
          </w:rPr>
          <w:fldChar w:fldCharType="separate"/>
        </w:r>
        <w:r w:rsidRPr="00152AD2">
          <w:rPr>
            <w:webHidden/>
          </w:rPr>
          <w:t>11</w:t>
        </w:r>
        <w:r w:rsidRPr="00152AD2">
          <w:rPr>
            <w:webHidden/>
          </w:rPr>
          <w:fldChar w:fldCharType="end"/>
        </w:r>
      </w:hyperlink>
    </w:p>
    <w:p w14:paraId="5F72AA12" w14:textId="3EEDFA7B"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3" w:history="1">
        <w:r w:rsidRPr="00152AD2">
          <w:rPr>
            <w:rStyle w:val="Hyperlink"/>
          </w:rPr>
          <w:t>Energy: Electricity generation</w:t>
        </w:r>
        <w:r w:rsidRPr="00152AD2">
          <w:rPr>
            <w:webHidden/>
          </w:rPr>
          <w:tab/>
        </w:r>
        <w:r w:rsidRPr="00152AD2">
          <w:rPr>
            <w:webHidden/>
          </w:rPr>
          <w:fldChar w:fldCharType="begin"/>
        </w:r>
        <w:r w:rsidRPr="00152AD2">
          <w:rPr>
            <w:webHidden/>
          </w:rPr>
          <w:instrText xml:space="preserve"> PAGEREF _Toc205897593 \h </w:instrText>
        </w:r>
        <w:r w:rsidRPr="00152AD2">
          <w:rPr>
            <w:webHidden/>
          </w:rPr>
        </w:r>
        <w:r w:rsidRPr="00152AD2">
          <w:rPr>
            <w:webHidden/>
          </w:rPr>
          <w:fldChar w:fldCharType="separate"/>
        </w:r>
        <w:r w:rsidRPr="00152AD2">
          <w:rPr>
            <w:webHidden/>
          </w:rPr>
          <w:t>12</w:t>
        </w:r>
        <w:r w:rsidRPr="00152AD2">
          <w:rPr>
            <w:webHidden/>
          </w:rPr>
          <w:fldChar w:fldCharType="end"/>
        </w:r>
      </w:hyperlink>
    </w:p>
    <w:p w14:paraId="4CF35C17" w14:textId="3A62BACF"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4" w:history="1">
        <w:r w:rsidRPr="00152AD2">
          <w:rPr>
            <w:rStyle w:val="Hyperlink"/>
          </w:rPr>
          <w:t>Energy: Fuel combustion</w:t>
        </w:r>
        <w:r w:rsidRPr="00152AD2">
          <w:rPr>
            <w:webHidden/>
          </w:rPr>
          <w:tab/>
        </w:r>
        <w:r w:rsidRPr="00152AD2">
          <w:rPr>
            <w:webHidden/>
          </w:rPr>
          <w:fldChar w:fldCharType="begin"/>
        </w:r>
        <w:r w:rsidRPr="00152AD2">
          <w:rPr>
            <w:webHidden/>
          </w:rPr>
          <w:instrText xml:space="preserve"> PAGEREF _Toc205897594 \h </w:instrText>
        </w:r>
        <w:r w:rsidRPr="00152AD2">
          <w:rPr>
            <w:webHidden/>
          </w:rPr>
        </w:r>
        <w:r w:rsidRPr="00152AD2">
          <w:rPr>
            <w:webHidden/>
          </w:rPr>
          <w:fldChar w:fldCharType="separate"/>
        </w:r>
        <w:r w:rsidRPr="00152AD2">
          <w:rPr>
            <w:webHidden/>
          </w:rPr>
          <w:t>12</w:t>
        </w:r>
        <w:r w:rsidRPr="00152AD2">
          <w:rPr>
            <w:webHidden/>
          </w:rPr>
          <w:fldChar w:fldCharType="end"/>
        </w:r>
      </w:hyperlink>
    </w:p>
    <w:p w14:paraId="2F20B93F" w14:textId="7E197C5C"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5" w:history="1">
        <w:r w:rsidRPr="00152AD2">
          <w:rPr>
            <w:rStyle w:val="Hyperlink"/>
          </w:rPr>
          <w:t>Energy: Transport</w:t>
        </w:r>
        <w:r w:rsidRPr="00152AD2">
          <w:rPr>
            <w:webHidden/>
          </w:rPr>
          <w:tab/>
        </w:r>
        <w:r w:rsidRPr="00152AD2">
          <w:rPr>
            <w:webHidden/>
          </w:rPr>
          <w:fldChar w:fldCharType="begin"/>
        </w:r>
        <w:r w:rsidRPr="00152AD2">
          <w:rPr>
            <w:webHidden/>
          </w:rPr>
          <w:instrText xml:space="preserve"> PAGEREF _Toc205897595 \h </w:instrText>
        </w:r>
        <w:r w:rsidRPr="00152AD2">
          <w:rPr>
            <w:webHidden/>
          </w:rPr>
        </w:r>
        <w:r w:rsidRPr="00152AD2">
          <w:rPr>
            <w:webHidden/>
          </w:rPr>
          <w:fldChar w:fldCharType="separate"/>
        </w:r>
        <w:r w:rsidRPr="00152AD2">
          <w:rPr>
            <w:webHidden/>
          </w:rPr>
          <w:t>13</w:t>
        </w:r>
        <w:r w:rsidRPr="00152AD2">
          <w:rPr>
            <w:webHidden/>
          </w:rPr>
          <w:fldChar w:fldCharType="end"/>
        </w:r>
      </w:hyperlink>
    </w:p>
    <w:p w14:paraId="156F6607" w14:textId="4671D3C8"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6" w:history="1">
        <w:r w:rsidRPr="00152AD2">
          <w:rPr>
            <w:rStyle w:val="Hyperlink"/>
          </w:rPr>
          <w:t>Industrial processes and product use (IPPU)</w:t>
        </w:r>
        <w:r w:rsidRPr="00152AD2">
          <w:rPr>
            <w:webHidden/>
          </w:rPr>
          <w:tab/>
        </w:r>
        <w:r w:rsidRPr="00152AD2">
          <w:rPr>
            <w:webHidden/>
          </w:rPr>
          <w:fldChar w:fldCharType="begin"/>
        </w:r>
        <w:r w:rsidRPr="00152AD2">
          <w:rPr>
            <w:webHidden/>
          </w:rPr>
          <w:instrText xml:space="preserve"> PAGEREF _Toc205897596 \h </w:instrText>
        </w:r>
        <w:r w:rsidRPr="00152AD2">
          <w:rPr>
            <w:webHidden/>
          </w:rPr>
        </w:r>
        <w:r w:rsidRPr="00152AD2">
          <w:rPr>
            <w:webHidden/>
          </w:rPr>
          <w:fldChar w:fldCharType="separate"/>
        </w:r>
        <w:r w:rsidRPr="00152AD2">
          <w:rPr>
            <w:webHidden/>
          </w:rPr>
          <w:t>13</w:t>
        </w:r>
        <w:r w:rsidRPr="00152AD2">
          <w:rPr>
            <w:webHidden/>
          </w:rPr>
          <w:fldChar w:fldCharType="end"/>
        </w:r>
      </w:hyperlink>
    </w:p>
    <w:p w14:paraId="6DA9E099" w14:textId="1BE598F4"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7" w:history="1">
        <w:r w:rsidRPr="00152AD2">
          <w:rPr>
            <w:rStyle w:val="Hyperlink"/>
          </w:rPr>
          <w:t>Energy: Fugitive emissions from fuels</w:t>
        </w:r>
        <w:r w:rsidRPr="00152AD2">
          <w:rPr>
            <w:webHidden/>
          </w:rPr>
          <w:tab/>
        </w:r>
        <w:r w:rsidRPr="00152AD2">
          <w:rPr>
            <w:webHidden/>
          </w:rPr>
          <w:fldChar w:fldCharType="begin"/>
        </w:r>
        <w:r w:rsidRPr="00152AD2">
          <w:rPr>
            <w:webHidden/>
          </w:rPr>
          <w:instrText xml:space="preserve"> PAGEREF _Toc205897597 \h </w:instrText>
        </w:r>
        <w:r w:rsidRPr="00152AD2">
          <w:rPr>
            <w:webHidden/>
          </w:rPr>
        </w:r>
        <w:r w:rsidRPr="00152AD2">
          <w:rPr>
            <w:webHidden/>
          </w:rPr>
          <w:fldChar w:fldCharType="separate"/>
        </w:r>
        <w:r w:rsidRPr="00152AD2">
          <w:rPr>
            <w:webHidden/>
          </w:rPr>
          <w:t>13</w:t>
        </w:r>
        <w:r w:rsidRPr="00152AD2">
          <w:rPr>
            <w:webHidden/>
          </w:rPr>
          <w:fldChar w:fldCharType="end"/>
        </w:r>
      </w:hyperlink>
    </w:p>
    <w:p w14:paraId="291A476B" w14:textId="2156C55A"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8" w:history="1">
        <w:r w:rsidRPr="00152AD2">
          <w:rPr>
            <w:rStyle w:val="Hyperlink"/>
          </w:rPr>
          <w:t>Waste</w:t>
        </w:r>
        <w:r w:rsidRPr="00152AD2">
          <w:rPr>
            <w:webHidden/>
          </w:rPr>
          <w:tab/>
        </w:r>
        <w:r w:rsidRPr="00152AD2">
          <w:rPr>
            <w:webHidden/>
          </w:rPr>
          <w:fldChar w:fldCharType="begin"/>
        </w:r>
        <w:r w:rsidRPr="00152AD2">
          <w:rPr>
            <w:webHidden/>
          </w:rPr>
          <w:instrText xml:space="preserve"> PAGEREF _Toc205897598 \h </w:instrText>
        </w:r>
        <w:r w:rsidRPr="00152AD2">
          <w:rPr>
            <w:webHidden/>
          </w:rPr>
        </w:r>
        <w:r w:rsidRPr="00152AD2">
          <w:rPr>
            <w:webHidden/>
          </w:rPr>
          <w:fldChar w:fldCharType="separate"/>
        </w:r>
        <w:r w:rsidRPr="00152AD2">
          <w:rPr>
            <w:webHidden/>
          </w:rPr>
          <w:t>14</w:t>
        </w:r>
        <w:r w:rsidRPr="00152AD2">
          <w:rPr>
            <w:webHidden/>
          </w:rPr>
          <w:fldChar w:fldCharType="end"/>
        </w:r>
      </w:hyperlink>
    </w:p>
    <w:p w14:paraId="703294AE" w14:textId="0EF7DEC5"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599" w:history="1">
        <w:r w:rsidRPr="00152AD2">
          <w:rPr>
            <w:rStyle w:val="Hyperlink"/>
          </w:rPr>
          <w:t>Agriculture</w:t>
        </w:r>
        <w:r w:rsidRPr="00152AD2">
          <w:rPr>
            <w:webHidden/>
          </w:rPr>
          <w:tab/>
        </w:r>
        <w:r w:rsidRPr="00152AD2">
          <w:rPr>
            <w:webHidden/>
          </w:rPr>
          <w:fldChar w:fldCharType="begin"/>
        </w:r>
        <w:r w:rsidRPr="00152AD2">
          <w:rPr>
            <w:webHidden/>
          </w:rPr>
          <w:instrText xml:space="preserve"> PAGEREF _Toc205897599 \h </w:instrText>
        </w:r>
        <w:r w:rsidRPr="00152AD2">
          <w:rPr>
            <w:webHidden/>
          </w:rPr>
        </w:r>
        <w:r w:rsidRPr="00152AD2">
          <w:rPr>
            <w:webHidden/>
          </w:rPr>
          <w:fldChar w:fldCharType="separate"/>
        </w:r>
        <w:r w:rsidRPr="00152AD2">
          <w:rPr>
            <w:webHidden/>
          </w:rPr>
          <w:t>14</w:t>
        </w:r>
        <w:r w:rsidRPr="00152AD2">
          <w:rPr>
            <w:webHidden/>
          </w:rPr>
          <w:fldChar w:fldCharType="end"/>
        </w:r>
      </w:hyperlink>
    </w:p>
    <w:p w14:paraId="5F7EDBFB" w14:textId="21DF7DD5"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00" w:history="1">
        <w:r w:rsidRPr="00152AD2">
          <w:rPr>
            <w:rStyle w:val="Hyperlink"/>
          </w:rPr>
          <w:t>Land Use, Land Use Change and Forestry (LULUCF)</w:t>
        </w:r>
        <w:r w:rsidRPr="00152AD2">
          <w:rPr>
            <w:webHidden/>
          </w:rPr>
          <w:tab/>
        </w:r>
        <w:r w:rsidRPr="00152AD2">
          <w:rPr>
            <w:webHidden/>
          </w:rPr>
          <w:fldChar w:fldCharType="begin"/>
        </w:r>
        <w:r w:rsidRPr="00152AD2">
          <w:rPr>
            <w:webHidden/>
          </w:rPr>
          <w:instrText xml:space="preserve"> PAGEREF _Toc205897600 \h </w:instrText>
        </w:r>
        <w:r w:rsidRPr="00152AD2">
          <w:rPr>
            <w:webHidden/>
          </w:rPr>
        </w:r>
        <w:r w:rsidRPr="00152AD2">
          <w:rPr>
            <w:webHidden/>
          </w:rPr>
          <w:fldChar w:fldCharType="separate"/>
        </w:r>
        <w:r w:rsidRPr="00152AD2">
          <w:rPr>
            <w:webHidden/>
          </w:rPr>
          <w:t>14</w:t>
        </w:r>
        <w:r w:rsidRPr="00152AD2">
          <w:rPr>
            <w:webHidden/>
          </w:rPr>
          <w:fldChar w:fldCharType="end"/>
        </w:r>
      </w:hyperlink>
    </w:p>
    <w:p w14:paraId="20CA274B" w14:textId="74CA0C07" w:rsidR="00115A99" w:rsidRPr="00152AD2" w:rsidRDefault="00115A99">
      <w:pPr>
        <w:pStyle w:val="TOC1"/>
        <w:tabs>
          <w:tab w:val="right" w:leader="dot" w:pos="9628"/>
        </w:tabs>
        <w:rPr>
          <w:rFonts w:asciiTheme="minorHAnsi" w:hAnsiTheme="minorHAnsi" w:cstheme="minorBidi"/>
          <w:b w:val="0"/>
          <w:bCs w:val="0"/>
          <w:kern w:val="2"/>
          <w:lang w:eastAsia="en-GB"/>
          <w14:ligatures w14:val="standardContextual"/>
        </w:rPr>
      </w:pPr>
      <w:hyperlink w:anchor="_Toc205897601" w:history="1">
        <w:r w:rsidRPr="00152AD2">
          <w:rPr>
            <w:rStyle w:val="Hyperlink"/>
          </w:rPr>
          <w:t>Trends in Victoria’s emissions</w:t>
        </w:r>
        <w:r w:rsidRPr="00152AD2">
          <w:rPr>
            <w:webHidden/>
          </w:rPr>
          <w:tab/>
        </w:r>
        <w:r w:rsidRPr="00152AD2">
          <w:rPr>
            <w:webHidden/>
          </w:rPr>
          <w:fldChar w:fldCharType="begin"/>
        </w:r>
        <w:r w:rsidRPr="00152AD2">
          <w:rPr>
            <w:webHidden/>
          </w:rPr>
          <w:instrText xml:space="preserve"> PAGEREF _Toc205897601 \h </w:instrText>
        </w:r>
        <w:r w:rsidRPr="00152AD2">
          <w:rPr>
            <w:webHidden/>
          </w:rPr>
        </w:r>
        <w:r w:rsidRPr="00152AD2">
          <w:rPr>
            <w:webHidden/>
          </w:rPr>
          <w:fldChar w:fldCharType="separate"/>
        </w:r>
        <w:r w:rsidRPr="00152AD2">
          <w:rPr>
            <w:webHidden/>
          </w:rPr>
          <w:t>16</w:t>
        </w:r>
        <w:r w:rsidRPr="00152AD2">
          <w:rPr>
            <w:webHidden/>
          </w:rPr>
          <w:fldChar w:fldCharType="end"/>
        </w:r>
      </w:hyperlink>
    </w:p>
    <w:p w14:paraId="06522C6F" w14:textId="5779CE53"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02" w:history="1">
        <w:r w:rsidRPr="00152AD2">
          <w:rPr>
            <w:rStyle w:val="Hyperlink"/>
          </w:rPr>
          <w:t>Victoria’s shift to renewable energy continues to drive emissions down</w:t>
        </w:r>
        <w:r w:rsidRPr="00152AD2">
          <w:rPr>
            <w:webHidden/>
          </w:rPr>
          <w:tab/>
        </w:r>
        <w:r w:rsidRPr="00152AD2">
          <w:rPr>
            <w:webHidden/>
          </w:rPr>
          <w:fldChar w:fldCharType="begin"/>
        </w:r>
        <w:r w:rsidRPr="00152AD2">
          <w:rPr>
            <w:webHidden/>
          </w:rPr>
          <w:instrText xml:space="preserve"> PAGEREF _Toc205897602 \h </w:instrText>
        </w:r>
        <w:r w:rsidRPr="00152AD2">
          <w:rPr>
            <w:webHidden/>
          </w:rPr>
        </w:r>
        <w:r w:rsidRPr="00152AD2">
          <w:rPr>
            <w:webHidden/>
          </w:rPr>
          <w:fldChar w:fldCharType="separate"/>
        </w:r>
        <w:r w:rsidRPr="00152AD2">
          <w:rPr>
            <w:webHidden/>
          </w:rPr>
          <w:t>16</w:t>
        </w:r>
        <w:r w:rsidRPr="00152AD2">
          <w:rPr>
            <w:webHidden/>
          </w:rPr>
          <w:fldChar w:fldCharType="end"/>
        </w:r>
      </w:hyperlink>
    </w:p>
    <w:p w14:paraId="197F5D0B" w14:textId="025B802A"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03" w:history="1">
        <w:r w:rsidRPr="00152AD2">
          <w:rPr>
            <w:rStyle w:val="Hyperlink"/>
          </w:rPr>
          <w:t>Businesses and households have reduced their fossil fuel use</w:t>
        </w:r>
        <w:r w:rsidRPr="00152AD2">
          <w:rPr>
            <w:webHidden/>
          </w:rPr>
          <w:tab/>
        </w:r>
        <w:r w:rsidRPr="00152AD2">
          <w:rPr>
            <w:webHidden/>
          </w:rPr>
          <w:fldChar w:fldCharType="begin"/>
        </w:r>
        <w:r w:rsidRPr="00152AD2">
          <w:rPr>
            <w:webHidden/>
          </w:rPr>
          <w:instrText xml:space="preserve"> PAGEREF _Toc205897603 \h </w:instrText>
        </w:r>
        <w:r w:rsidRPr="00152AD2">
          <w:rPr>
            <w:webHidden/>
          </w:rPr>
        </w:r>
        <w:r w:rsidRPr="00152AD2">
          <w:rPr>
            <w:webHidden/>
          </w:rPr>
          <w:fldChar w:fldCharType="separate"/>
        </w:r>
        <w:r w:rsidRPr="00152AD2">
          <w:rPr>
            <w:webHidden/>
          </w:rPr>
          <w:t>17</w:t>
        </w:r>
        <w:r w:rsidRPr="00152AD2">
          <w:rPr>
            <w:webHidden/>
          </w:rPr>
          <w:fldChar w:fldCharType="end"/>
        </w:r>
      </w:hyperlink>
    </w:p>
    <w:p w14:paraId="462123BF" w14:textId="2A31C2F0"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04" w:history="1">
        <w:r w:rsidRPr="00152AD2">
          <w:rPr>
            <w:rStyle w:val="Hyperlink"/>
          </w:rPr>
          <w:t>Transport emissions have increased as post-pandemic recovery continued, despite growing electric vehicle sales</w:t>
        </w:r>
        <w:r w:rsidRPr="00152AD2">
          <w:rPr>
            <w:webHidden/>
          </w:rPr>
          <w:tab/>
        </w:r>
        <w:r w:rsidRPr="00152AD2">
          <w:rPr>
            <w:webHidden/>
          </w:rPr>
          <w:fldChar w:fldCharType="begin"/>
        </w:r>
        <w:r w:rsidRPr="00152AD2">
          <w:rPr>
            <w:webHidden/>
          </w:rPr>
          <w:instrText xml:space="preserve"> PAGEREF _Toc205897604 \h </w:instrText>
        </w:r>
        <w:r w:rsidRPr="00152AD2">
          <w:rPr>
            <w:webHidden/>
          </w:rPr>
        </w:r>
        <w:r w:rsidRPr="00152AD2">
          <w:rPr>
            <w:webHidden/>
          </w:rPr>
          <w:fldChar w:fldCharType="separate"/>
        </w:r>
        <w:r w:rsidRPr="00152AD2">
          <w:rPr>
            <w:webHidden/>
          </w:rPr>
          <w:t>17</w:t>
        </w:r>
        <w:r w:rsidRPr="00152AD2">
          <w:rPr>
            <w:webHidden/>
          </w:rPr>
          <w:fldChar w:fldCharType="end"/>
        </w:r>
      </w:hyperlink>
    </w:p>
    <w:p w14:paraId="00652B6F" w14:textId="548B3337"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05" w:history="1">
        <w:r w:rsidRPr="00152AD2">
          <w:rPr>
            <w:rStyle w:val="Hyperlink"/>
          </w:rPr>
          <w:t>Victoria’s forests are absorbing more carbon</w:t>
        </w:r>
        <w:r w:rsidRPr="00152AD2">
          <w:rPr>
            <w:webHidden/>
          </w:rPr>
          <w:tab/>
        </w:r>
        <w:r w:rsidRPr="00152AD2">
          <w:rPr>
            <w:webHidden/>
          </w:rPr>
          <w:fldChar w:fldCharType="begin"/>
        </w:r>
        <w:r w:rsidRPr="00152AD2">
          <w:rPr>
            <w:webHidden/>
          </w:rPr>
          <w:instrText xml:space="preserve"> PAGEREF _Toc205897605 \h </w:instrText>
        </w:r>
        <w:r w:rsidRPr="00152AD2">
          <w:rPr>
            <w:webHidden/>
          </w:rPr>
        </w:r>
        <w:r w:rsidRPr="00152AD2">
          <w:rPr>
            <w:webHidden/>
          </w:rPr>
          <w:fldChar w:fldCharType="separate"/>
        </w:r>
        <w:r w:rsidRPr="00152AD2">
          <w:rPr>
            <w:webHidden/>
          </w:rPr>
          <w:t>18</w:t>
        </w:r>
        <w:r w:rsidRPr="00152AD2">
          <w:rPr>
            <w:webHidden/>
          </w:rPr>
          <w:fldChar w:fldCharType="end"/>
        </w:r>
      </w:hyperlink>
    </w:p>
    <w:p w14:paraId="443FFB05" w14:textId="48D251B3" w:rsidR="00115A99" w:rsidRPr="00152AD2" w:rsidRDefault="00115A99">
      <w:pPr>
        <w:pStyle w:val="TOC1"/>
        <w:tabs>
          <w:tab w:val="right" w:leader="dot" w:pos="9628"/>
        </w:tabs>
        <w:rPr>
          <w:rFonts w:asciiTheme="minorHAnsi" w:hAnsiTheme="minorHAnsi" w:cstheme="minorBidi"/>
          <w:b w:val="0"/>
          <w:bCs w:val="0"/>
          <w:kern w:val="2"/>
          <w:lang w:eastAsia="en-GB"/>
          <w14:ligatures w14:val="standardContextual"/>
        </w:rPr>
      </w:pPr>
      <w:hyperlink w:anchor="_Toc205897606" w:history="1">
        <w:r w:rsidRPr="00152AD2">
          <w:rPr>
            <w:rStyle w:val="Hyperlink"/>
          </w:rPr>
          <w:t>Where Victoria’s emissions data comes from</w:t>
        </w:r>
        <w:r w:rsidRPr="00152AD2">
          <w:rPr>
            <w:webHidden/>
          </w:rPr>
          <w:tab/>
        </w:r>
        <w:r w:rsidRPr="00152AD2">
          <w:rPr>
            <w:webHidden/>
          </w:rPr>
          <w:fldChar w:fldCharType="begin"/>
        </w:r>
        <w:r w:rsidRPr="00152AD2">
          <w:rPr>
            <w:webHidden/>
          </w:rPr>
          <w:instrText xml:space="preserve"> PAGEREF _Toc205897606 \h </w:instrText>
        </w:r>
        <w:r w:rsidRPr="00152AD2">
          <w:rPr>
            <w:webHidden/>
          </w:rPr>
        </w:r>
        <w:r w:rsidRPr="00152AD2">
          <w:rPr>
            <w:webHidden/>
          </w:rPr>
          <w:fldChar w:fldCharType="separate"/>
        </w:r>
        <w:r w:rsidRPr="00152AD2">
          <w:rPr>
            <w:webHidden/>
          </w:rPr>
          <w:t>20</w:t>
        </w:r>
        <w:r w:rsidRPr="00152AD2">
          <w:rPr>
            <w:webHidden/>
          </w:rPr>
          <w:fldChar w:fldCharType="end"/>
        </w:r>
      </w:hyperlink>
    </w:p>
    <w:p w14:paraId="658DC369" w14:textId="3D33B526"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07" w:history="1">
        <w:r w:rsidRPr="00152AD2">
          <w:rPr>
            <w:rStyle w:val="Hyperlink"/>
          </w:rPr>
          <w:t>Recalculating historical emissions</w:t>
        </w:r>
        <w:r w:rsidRPr="00152AD2">
          <w:rPr>
            <w:webHidden/>
          </w:rPr>
          <w:tab/>
        </w:r>
        <w:r w:rsidRPr="00152AD2">
          <w:rPr>
            <w:webHidden/>
          </w:rPr>
          <w:fldChar w:fldCharType="begin"/>
        </w:r>
        <w:r w:rsidRPr="00152AD2">
          <w:rPr>
            <w:webHidden/>
          </w:rPr>
          <w:instrText xml:space="preserve"> PAGEREF _Toc205897607 \h </w:instrText>
        </w:r>
        <w:r w:rsidRPr="00152AD2">
          <w:rPr>
            <w:webHidden/>
          </w:rPr>
        </w:r>
        <w:r w:rsidRPr="00152AD2">
          <w:rPr>
            <w:webHidden/>
          </w:rPr>
          <w:fldChar w:fldCharType="separate"/>
        </w:r>
        <w:r w:rsidRPr="00152AD2">
          <w:rPr>
            <w:webHidden/>
          </w:rPr>
          <w:t>21</w:t>
        </w:r>
        <w:r w:rsidRPr="00152AD2">
          <w:rPr>
            <w:webHidden/>
          </w:rPr>
          <w:fldChar w:fldCharType="end"/>
        </w:r>
      </w:hyperlink>
    </w:p>
    <w:p w14:paraId="0A8E7E25" w14:textId="779E5D86" w:rsidR="00115A99" w:rsidRPr="00152AD2" w:rsidRDefault="00115A99">
      <w:pPr>
        <w:pStyle w:val="TOC1"/>
        <w:tabs>
          <w:tab w:val="right" w:leader="dot" w:pos="9628"/>
        </w:tabs>
        <w:rPr>
          <w:rFonts w:asciiTheme="minorHAnsi" w:hAnsiTheme="minorHAnsi" w:cstheme="minorBidi"/>
          <w:b w:val="0"/>
          <w:bCs w:val="0"/>
          <w:kern w:val="2"/>
          <w:lang w:eastAsia="en-GB"/>
          <w14:ligatures w14:val="standardContextual"/>
        </w:rPr>
      </w:pPr>
      <w:hyperlink w:anchor="_Toc205897608" w:history="1">
        <w:r w:rsidRPr="00152AD2">
          <w:rPr>
            <w:rStyle w:val="Hyperlink"/>
          </w:rPr>
          <w:t>Abbreviations and acronyms</w:t>
        </w:r>
        <w:r w:rsidRPr="00152AD2">
          <w:rPr>
            <w:webHidden/>
          </w:rPr>
          <w:tab/>
        </w:r>
        <w:r w:rsidRPr="00152AD2">
          <w:rPr>
            <w:webHidden/>
          </w:rPr>
          <w:fldChar w:fldCharType="begin"/>
        </w:r>
        <w:r w:rsidRPr="00152AD2">
          <w:rPr>
            <w:webHidden/>
          </w:rPr>
          <w:instrText xml:space="preserve"> PAGEREF _Toc205897608 \h </w:instrText>
        </w:r>
        <w:r w:rsidRPr="00152AD2">
          <w:rPr>
            <w:webHidden/>
          </w:rPr>
        </w:r>
        <w:r w:rsidRPr="00152AD2">
          <w:rPr>
            <w:webHidden/>
          </w:rPr>
          <w:fldChar w:fldCharType="separate"/>
        </w:r>
        <w:r w:rsidRPr="00152AD2">
          <w:rPr>
            <w:webHidden/>
          </w:rPr>
          <w:t>23</w:t>
        </w:r>
        <w:r w:rsidRPr="00152AD2">
          <w:rPr>
            <w:webHidden/>
          </w:rPr>
          <w:fldChar w:fldCharType="end"/>
        </w:r>
      </w:hyperlink>
    </w:p>
    <w:p w14:paraId="178A139B" w14:textId="15EC12B7" w:rsidR="00115A99" w:rsidRPr="00152AD2" w:rsidRDefault="00115A99">
      <w:pPr>
        <w:pStyle w:val="TOC1"/>
        <w:tabs>
          <w:tab w:val="right" w:leader="dot" w:pos="9628"/>
        </w:tabs>
        <w:rPr>
          <w:rFonts w:asciiTheme="minorHAnsi" w:hAnsiTheme="minorHAnsi" w:cstheme="minorBidi"/>
          <w:b w:val="0"/>
          <w:bCs w:val="0"/>
          <w:kern w:val="2"/>
          <w:lang w:eastAsia="en-GB"/>
          <w14:ligatures w14:val="standardContextual"/>
        </w:rPr>
      </w:pPr>
      <w:hyperlink w:anchor="_Toc205897609" w:history="1">
        <w:r w:rsidRPr="00152AD2">
          <w:rPr>
            <w:rStyle w:val="Hyperlink"/>
          </w:rPr>
          <w:t>Publication information</w:t>
        </w:r>
        <w:r w:rsidRPr="00152AD2">
          <w:rPr>
            <w:webHidden/>
          </w:rPr>
          <w:tab/>
        </w:r>
        <w:r w:rsidRPr="00152AD2">
          <w:rPr>
            <w:webHidden/>
          </w:rPr>
          <w:fldChar w:fldCharType="begin"/>
        </w:r>
        <w:r w:rsidRPr="00152AD2">
          <w:rPr>
            <w:webHidden/>
          </w:rPr>
          <w:instrText xml:space="preserve"> PAGEREF _Toc205897609 \h </w:instrText>
        </w:r>
        <w:r w:rsidRPr="00152AD2">
          <w:rPr>
            <w:webHidden/>
          </w:rPr>
        </w:r>
        <w:r w:rsidRPr="00152AD2">
          <w:rPr>
            <w:webHidden/>
          </w:rPr>
          <w:fldChar w:fldCharType="separate"/>
        </w:r>
        <w:r w:rsidRPr="00152AD2">
          <w:rPr>
            <w:webHidden/>
          </w:rPr>
          <w:t>24</w:t>
        </w:r>
        <w:r w:rsidRPr="00152AD2">
          <w:rPr>
            <w:webHidden/>
          </w:rPr>
          <w:fldChar w:fldCharType="end"/>
        </w:r>
      </w:hyperlink>
    </w:p>
    <w:p w14:paraId="271EE3B2" w14:textId="5EC5E25A"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10" w:history="1">
        <w:r w:rsidRPr="00152AD2">
          <w:rPr>
            <w:rStyle w:val="Hyperlink"/>
          </w:rPr>
          <w:t>Acknowledgements</w:t>
        </w:r>
        <w:r w:rsidRPr="00152AD2">
          <w:rPr>
            <w:webHidden/>
          </w:rPr>
          <w:tab/>
        </w:r>
        <w:r w:rsidRPr="00152AD2">
          <w:rPr>
            <w:webHidden/>
          </w:rPr>
          <w:fldChar w:fldCharType="begin"/>
        </w:r>
        <w:r w:rsidRPr="00152AD2">
          <w:rPr>
            <w:webHidden/>
          </w:rPr>
          <w:instrText xml:space="preserve"> PAGEREF _Toc205897610 \h </w:instrText>
        </w:r>
        <w:r w:rsidRPr="00152AD2">
          <w:rPr>
            <w:webHidden/>
          </w:rPr>
        </w:r>
        <w:r w:rsidRPr="00152AD2">
          <w:rPr>
            <w:webHidden/>
          </w:rPr>
          <w:fldChar w:fldCharType="separate"/>
        </w:r>
        <w:r w:rsidRPr="00152AD2">
          <w:rPr>
            <w:webHidden/>
          </w:rPr>
          <w:t>24</w:t>
        </w:r>
        <w:r w:rsidRPr="00152AD2">
          <w:rPr>
            <w:webHidden/>
          </w:rPr>
          <w:fldChar w:fldCharType="end"/>
        </w:r>
      </w:hyperlink>
    </w:p>
    <w:p w14:paraId="6711FAF4" w14:textId="7BB1E94F"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11" w:history="1">
        <w:r w:rsidRPr="00152AD2">
          <w:rPr>
            <w:rStyle w:val="Hyperlink"/>
          </w:rPr>
          <w:t>Copyright</w:t>
        </w:r>
        <w:r w:rsidRPr="00152AD2">
          <w:rPr>
            <w:webHidden/>
          </w:rPr>
          <w:tab/>
        </w:r>
        <w:r w:rsidRPr="00152AD2">
          <w:rPr>
            <w:webHidden/>
          </w:rPr>
          <w:fldChar w:fldCharType="begin"/>
        </w:r>
        <w:r w:rsidRPr="00152AD2">
          <w:rPr>
            <w:webHidden/>
          </w:rPr>
          <w:instrText xml:space="preserve"> PAGEREF _Toc205897611 \h </w:instrText>
        </w:r>
        <w:r w:rsidRPr="00152AD2">
          <w:rPr>
            <w:webHidden/>
          </w:rPr>
        </w:r>
        <w:r w:rsidRPr="00152AD2">
          <w:rPr>
            <w:webHidden/>
          </w:rPr>
          <w:fldChar w:fldCharType="separate"/>
        </w:r>
        <w:r w:rsidRPr="00152AD2">
          <w:rPr>
            <w:webHidden/>
          </w:rPr>
          <w:t>24</w:t>
        </w:r>
        <w:r w:rsidRPr="00152AD2">
          <w:rPr>
            <w:webHidden/>
          </w:rPr>
          <w:fldChar w:fldCharType="end"/>
        </w:r>
      </w:hyperlink>
    </w:p>
    <w:p w14:paraId="37D553EF" w14:textId="70FEC67A"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12" w:history="1">
        <w:r w:rsidRPr="00152AD2">
          <w:rPr>
            <w:rStyle w:val="Hyperlink"/>
          </w:rPr>
          <w:t>Creative Commons</w:t>
        </w:r>
        <w:r w:rsidRPr="00152AD2">
          <w:rPr>
            <w:webHidden/>
          </w:rPr>
          <w:tab/>
        </w:r>
        <w:r w:rsidRPr="00152AD2">
          <w:rPr>
            <w:webHidden/>
          </w:rPr>
          <w:fldChar w:fldCharType="begin"/>
        </w:r>
        <w:r w:rsidRPr="00152AD2">
          <w:rPr>
            <w:webHidden/>
          </w:rPr>
          <w:instrText xml:space="preserve"> PAGEREF _Toc205897612 \h </w:instrText>
        </w:r>
        <w:r w:rsidRPr="00152AD2">
          <w:rPr>
            <w:webHidden/>
          </w:rPr>
        </w:r>
        <w:r w:rsidRPr="00152AD2">
          <w:rPr>
            <w:webHidden/>
          </w:rPr>
          <w:fldChar w:fldCharType="separate"/>
        </w:r>
        <w:r w:rsidRPr="00152AD2">
          <w:rPr>
            <w:webHidden/>
          </w:rPr>
          <w:t>24</w:t>
        </w:r>
        <w:r w:rsidRPr="00152AD2">
          <w:rPr>
            <w:webHidden/>
          </w:rPr>
          <w:fldChar w:fldCharType="end"/>
        </w:r>
      </w:hyperlink>
    </w:p>
    <w:p w14:paraId="0E01C3E1" w14:textId="21C4E2B1"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13" w:history="1">
        <w:r w:rsidRPr="00152AD2">
          <w:rPr>
            <w:rStyle w:val="Hyperlink"/>
          </w:rPr>
          <w:t>Disclaimer</w:t>
        </w:r>
        <w:r w:rsidRPr="00152AD2">
          <w:rPr>
            <w:webHidden/>
          </w:rPr>
          <w:tab/>
        </w:r>
        <w:r w:rsidRPr="00152AD2">
          <w:rPr>
            <w:webHidden/>
          </w:rPr>
          <w:fldChar w:fldCharType="begin"/>
        </w:r>
        <w:r w:rsidRPr="00152AD2">
          <w:rPr>
            <w:webHidden/>
          </w:rPr>
          <w:instrText xml:space="preserve"> PAGEREF _Toc205897613 \h </w:instrText>
        </w:r>
        <w:r w:rsidRPr="00152AD2">
          <w:rPr>
            <w:webHidden/>
          </w:rPr>
        </w:r>
        <w:r w:rsidRPr="00152AD2">
          <w:rPr>
            <w:webHidden/>
          </w:rPr>
          <w:fldChar w:fldCharType="separate"/>
        </w:r>
        <w:r w:rsidRPr="00152AD2">
          <w:rPr>
            <w:webHidden/>
          </w:rPr>
          <w:t>24</w:t>
        </w:r>
        <w:r w:rsidRPr="00152AD2">
          <w:rPr>
            <w:webHidden/>
          </w:rPr>
          <w:fldChar w:fldCharType="end"/>
        </w:r>
      </w:hyperlink>
    </w:p>
    <w:p w14:paraId="74C45039" w14:textId="4915F688" w:rsidR="00115A99" w:rsidRPr="00152AD2" w:rsidRDefault="00115A99">
      <w:pPr>
        <w:pStyle w:val="TOC2"/>
        <w:tabs>
          <w:tab w:val="right" w:leader="dot" w:pos="9628"/>
        </w:tabs>
        <w:rPr>
          <w:rFonts w:cstheme="minorBidi"/>
          <w:bCs w:val="0"/>
          <w:kern w:val="2"/>
          <w:szCs w:val="24"/>
          <w:lang w:eastAsia="en-GB"/>
          <w14:ligatures w14:val="standardContextual"/>
        </w:rPr>
      </w:pPr>
      <w:hyperlink w:anchor="_Toc205897614" w:history="1">
        <w:r w:rsidRPr="00152AD2">
          <w:rPr>
            <w:rStyle w:val="Hyperlink"/>
          </w:rPr>
          <w:t>Accessibility</w:t>
        </w:r>
        <w:r w:rsidRPr="00152AD2">
          <w:rPr>
            <w:webHidden/>
          </w:rPr>
          <w:tab/>
        </w:r>
        <w:r w:rsidRPr="00152AD2">
          <w:rPr>
            <w:webHidden/>
          </w:rPr>
          <w:fldChar w:fldCharType="begin"/>
        </w:r>
        <w:r w:rsidRPr="00152AD2">
          <w:rPr>
            <w:webHidden/>
          </w:rPr>
          <w:instrText xml:space="preserve"> PAGEREF _Toc205897614 \h </w:instrText>
        </w:r>
        <w:r w:rsidRPr="00152AD2">
          <w:rPr>
            <w:webHidden/>
          </w:rPr>
        </w:r>
        <w:r w:rsidRPr="00152AD2">
          <w:rPr>
            <w:webHidden/>
          </w:rPr>
          <w:fldChar w:fldCharType="separate"/>
        </w:r>
        <w:r w:rsidRPr="00152AD2">
          <w:rPr>
            <w:webHidden/>
          </w:rPr>
          <w:t>25</w:t>
        </w:r>
        <w:r w:rsidRPr="00152AD2">
          <w:rPr>
            <w:webHidden/>
          </w:rPr>
          <w:fldChar w:fldCharType="end"/>
        </w:r>
      </w:hyperlink>
    </w:p>
    <w:p w14:paraId="4FF1639A" w14:textId="2A469178" w:rsidR="00B165A7" w:rsidRPr="00152AD2" w:rsidRDefault="00C81AC2">
      <w:pPr>
        <w:suppressAutoHyphens w:val="0"/>
        <w:spacing w:after="160"/>
        <w:rPr>
          <w:rFonts w:asciiTheme="majorHAnsi" w:hAnsiTheme="majorHAnsi" w:cstheme="majorHAnsi"/>
          <w:szCs w:val="24"/>
        </w:rPr>
        <w:sectPr w:rsidR="00B165A7" w:rsidRPr="00152AD2" w:rsidSect="00EB277B">
          <w:footerReference w:type="even" r:id="rId8"/>
          <w:footerReference w:type="default" r:id="rId9"/>
          <w:pgSz w:w="11906" w:h="16838"/>
          <w:pgMar w:top="1134" w:right="1134" w:bottom="1134" w:left="1134" w:header="720" w:footer="454" w:gutter="0"/>
          <w:cols w:space="720"/>
          <w:noEndnote/>
          <w:docGrid w:linePitch="326"/>
        </w:sectPr>
      </w:pPr>
      <w:r w:rsidRPr="00152AD2">
        <w:rPr>
          <w:rFonts w:asciiTheme="majorHAnsi" w:hAnsiTheme="majorHAnsi" w:cstheme="majorHAnsi"/>
          <w:b/>
          <w:bCs/>
          <w:sz w:val="28"/>
          <w:szCs w:val="24"/>
        </w:rPr>
        <w:fldChar w:fldCharType="end"/>
      </w:r>
    </w:p>
    <w:p w14:paraId="660F9081" w14:textId="77777777" w:rsidR="002627A0" w:rsidRPr="00152AD2" w:rsidRDefault="002627A0" w:rsidP="002627A0">
      <w:pPr>
        <w:pStyle w:val="Heading1"/>
        <w:rPr>
          <w:lang w:val="en-AU"/>
        </w:rPr>
      </w:pPr>
      <w:bookmarkStart w:id="0" w:name="_Toc205897585"/>
      <w:r w:rsidRPr="00152AD2">
        <w:rPr>
          <w:lang w:val="en-AU"/>
        </w:rPr>
        <w:lastRenderedPageBreak/>
        <w:t>Minister’s foreword</w:t>
      </w:r>
      <w:bookmarkEnd w:id="0"/>
    </w:p>
    <w:p w14:paraId="197E809B" w14:textId="0C652289" w:rsidR="009844CD" w:rsidRDefault="009844CD" w:rsidP="009844CD">
      <w:pPr>
        <w:pStyle w:val="BodyText"/>
      </w:pPr>
      <w:r w:rsidRPr="009844CD">
        <w:t>Victoria leads the nation in climate action. We’ve set some of the most ambitious climate targets in the world: net zero emissions by 2045 and strong interim targets along the way – 28–33% below 2005 levels by 2025, 45–50% by 2030, and 75–80% by 2035.</w:t>
      </w:r>
      <w:r>
        <w:t xml:space="preserve"> </w:t>
      </w:r>
    </w:p>
    <w:p w14:paraId="2EF1C6D2" w14:textId="77777777" w:rsidR="009844CD" w:rsidRDefault="009844CD" w:rsidP="009844CD">
      <w:pPr>
        <w:pStyle w:val="BodyText"/>
      </w:pPr>
      <w:r w:rsidRPr="009844CD">
        <w:t>And we’re seeing results. The Victorian Greenhouse Gas Emissions Report 2023 measures Victoria’s progress towards these targets and shows that Victoria has reduced its net emissions by 31.4% below 2005 levels – within the range of our 2025 target.</w:t>
      </w:r>
    </w:p>
    <w:p w14:paraId="73D55382" w14:textId="77777777" w:rsidR="009844CD" w:rsidRDefault="009844CD" w:rsidP="009844CD">
      <w:pPr>
        <w:pStyle w:val="BodyText"/>
      </w:pPr>
      <w:r w:rsidRPr="009844CD">
        <w:t>We’ve proven we can take world-leading climate action and continue to grow our economy and create thousands of jobs in the process. Between 2005 and 2023, while Victoria’s greenhouse emissions fell by 31.4%, our economy grew by 57.5%.</w:t>
      </w:r>
    </w:p>
    <w:p w14:paraId="0806EBBD" w14:textId="77777777" w:rsidR="009844CD" w:rsidRDefault="009844CD" w:rsidP="009844CD">
      <w:pPr>
        <w:pStyle w:val="BodyText"/>
      </w:pPr>
      <w:r w:rsidRPr="009844CD">
        <w:t>Our transition to renewable energy is driving this progress. We’re leading the nation with our renewable energy targets: 65% renewable energy by 2030 and 95% by 2035, and energy storage targets of 2.6 gigawatts (GW) by 2030, and 6.3 GW of storage by 2035.</w:t>
      </w:r>
    </w:p>
    <w:p w14:paraId="4F671239" w14:textId="77777777" w:rsidR="009844CD" w:rsidRDefault="009844CD" w:rsidP="009844CD">
      <w:pPr>
        <w:pStyle w:val="BodyText"/>
      </w:pPr>
      <w:r w:rsidRPr="009844CD">
        <w:t xml:space="preserve">We've brought back the State Electricity Commission (SEC), to put power back in the hands of the people. The SEC is leading our transition to renewable </w:t>
      </w:r>
      <w:proofErr w:type="gramStart"/>
      <w:r w:rsidRPr="009844CD">
        <w:t>energy, and</w:t>
      </w:r>
      <w:proofErr w:type="gramEnd"/>
      <w:r w:rsidRPr="009844CD">
        <w:t xml:space="preserve"> helping families upgrade their homes to efficient electric energy and slash their bills.</w:t>
      </w:r>
    </w:p>
    <w:p w14:paraId="7E27A117" w14:textId="2B7517CF" w:rsidR="002627A0" w:rsidRPr="00152AD2" w:rsidRDefault="009844CD" w:rsidP="009844CD">
      <w:pPr>
        <w:pStyle w:val="BodyText"/>
        <w:rPr>
          <w:lang w:val="en-AU"/>
        </w:rPr>
      </w:pPr>
      <w:r w:rsidRPr="009844CD">
        <w:rPr>
          <w:lang w:val="en-AU"/>
        </w:rPr>
        <w:t xml:space="preserve">We will continue to reduce emissions in a way that helps Victorians who are doing it tough in the face of rising cost of </w:t>
      </w:r>
      <w:proofErr w:type="gramStart"/>
      <w:r w:rsidRPr="009844CD">
        <w:rPr>
          <w:lang w:val="en-AU"/>
        </w:rPr>
        <w:t>living, and</w:t>
      </w:r>
      <w:proofErr w:type="gramEnd"/>
      <w:r w:rsidRPr="009844CD">
        <w:rPr>
          <w:lang w:val="en-AU"/>
        </w:rPr>
        <w:t xml:space="preserve"> safeguard a better future for all Victorians.</w:t>
      </w:r>
    </w:p>
    <w:p w14:paraId="230858A0" w14:textId="77777777" w:rsidR="002627A0" w:rsidRPr="00152AD2" w:rsidRDefault="002627A0" w:rsidP="002627A0">
      <w:pPr>
        <w:pStyle w:val="BodyText"/>
        <w:spacing w:line="240" w:lineRule="auto"/>
        <w:rPr>
          <w:b/>
          <w:bCs/>
          <w:lang w:val="en-AU"/>
        </w:rPr>
      </w:pPr>
      <w:r w:rsidRPr="00152AD2">
        <w:rPr>
          <w:b/>
          <w:bCs/>
          <w:lang w:val="en-AU"/>
        </w:rPr>
        <w:t>The Hon. Lily D’Ambrosio MP</w:t>
      </w:r>
    </w:p>
    <w:p w14:paraId="123CB1F8" w14:textId="77777777" w:rsidR="002627A0" w:rsidRPr="00152AD2" w:rsidRDefault="002627A0" w:rsidP="002627A0">
      <w:pPr>
        <w:pStyle w:val="BodyText"/>
        <w:spacing w:line="240" w:lineRule="auto"/>
        <w:rPr>
          <w:lang w:val="en-AU"/>
        </w:rPr>
      </w:pPr>
      <w:r w:rsidRPr="00152AD2">
        <w:rPr>
          <w:lang w:val="en-AU"/>
        </w:rPr>
        <w:t>Minister for Climate Action</w:t>
      </w:r>
    </w:p>
    <w:p w14:paraId="3D842147" w14:textId="77777777" w:rsidR="002627A0" w:rsidRPr="00152AD2" w:rsidRDefault="002627A0" w:rsidP="002627A0">
      <w:pPr>
        <w:pStyle w:val="BodyText"/>
        <w:spacing w:line="240" w:lineRule="auto"/>
        <w:rPr>
          <w:lang w:val="en-AU"/>
        </w:rPr>
      </w:pPr>
      <w:r w:rsidRPr="00152AD2">
        <w:rPr>
          <w:lang w:val="en-AU"/>
        </w:rPr>
        <w:t>Minister for Energy and Resources</w:t>
      </w:r>
    </w:p>
    <w:p w14:paraId="27569E6A" w14:textId="10FD84C0" w:rsidR="00885AAB" w:rsidRPr="00152AD2" w:rsidRDefault="002627A0" w:rsidP="002627A0">
      <w:pPr>
        <w:pStyle w:val="BodyText"/>
        <w:spacing w:line="240" w:lineRule="auto"/>
        <w:rPr>
          <w:lang w:val="en-AU"/>
        </w:rPr>
      </w:pPr>
      <w:r w:rsidRPr="00152AD2">
        <w:rPr>
          <w:lang w:val="en-AU"/>
        </w:rPr>
        <w:t>Minister for the State Electricity Commission</w:t>
      </w:r>
    </w:p>
    <w:p w14:paraId="6F4B4BD4" w14:textId="43C52660" w:rsidR="002627A0" w:rsidRPr="00152AD2" w:rsidRDefault="002627A0" w:rsidP="002627A0">
      <w:pPr>
        <w:pStyle w:val="Heading1"/>
        <w:pageBreakBefore/>
        <w:rPr>
          <w:lang w:val="en-AU"/>
        </w:rPr>
      </w:pPr>
      <w:bookmarkStart w:id="1" w:name="_Toc205897586"/>
      <w:r w:rsidRPr="00152AD2">
        <w:rPr>
          <w:lang w:val="en-AU"/>
        </w:rPr>
        <w:lastRenderedPageBreak/>
        <w:t>Victoria’s greenhouse gas emissions report</w:t>
      </w:r>
      <w:bookmarkEnd w:id="1"/>
    </w:p>
    <w:p w14:paraId="36A8EA98" w14:textId="77777777" w:rsidR="002627A0" w:rsidRPr="00152AD2" w:rsidRDefault="002627A0" w:rsidP="002627A0">
      <w:pPr>
        <w:pStyle w:val="BodyText"/>
        <w:rPr>
          <w:lang w:val="en-AU"/>
        </w:rPr>
      </w:pPr>
      <w:r w:rsidRPr="00152AD2">
        <w:rPr>
          <w:lang w:val="en-AU"/>
        </w:rPr>
        <w:t xml:space="preserve">The Victorian Government is committed to playing its part in limiting global warming to 1.5°C. The </w:t>
      </w:r>
      <w:r w:rsidRPr="00152AD2">
        <w:rPr>
          <w:i/>
          <w:iCs/>
          <w:lang w:val="en-AU"/>
        </w:rPr>
        <w:t>Climate Action Act 2017</w:t>
      </w:r>
      <w:r w:rsidRPr="00152AD2">
        <w:rPr>
          <w:lang w:val="en-AU"/>
        </w:rPr>
        <w:t xml:space="preserve"> (the Act) sets out Victoria’s emissions reduction targets.</w:t>
      </w:r>
    </w:p>
    <w:p w14:paraId="54E4C5F1" w14:textId="05B57069" w:rsidR="005D0C8B" w:rsidRDefault="005D0C8B" w:rsidP="005D0C8B">
      <w:pPr>
        <w:pStyle w:val="Caption"/>
        <w:keepNext/>
        <w:spacing w:after="360"/>
      </w:pPr>
      <w:r>
        <w:t xml:space="preserve">Figure </w:t>
      </w:r>
      <w:fldSimple w:instr=" SEQ Figure \* ARABIC ">
        <w:r>
          <w:rPr>
            <w:noProof/>
          </w:rPr>
          <w:t>1</w:t>
        </w:r>
      </w:fldSimple>
      <w:r>
        <w:t xml:space="preserve">: </w:t>
      </w:r>
      <w:r w:rsidRPr="005D0C8B">
        <w:t>Victoria's emissions reduction targets</w:t>
      </w:r>
    </w:p>
    <w:p w14:paraId="2C79692B" w14:textId="48C47388" w:rsidR="00BA4FF2" w:rsidRPr="00152AD2" w:rsidRDefault="00BA4FF2" w:rsidP="006D709E">
      <w:pPr>
        <w:pStyle w:val="BodyText"/>
        <w:jc w:val="center"/>
        <w:rPr>
          <w:lang w:val="en-AU"/>
        </w:rPr>
      </w:pPr>
      <w:r w:rsidRPr="00152AD2">
        <w:rPr>
          <w:noProof/>
          <w:lang w:val="en-AU"/>
        </w:rPr>
        <w:drawing>
          <wp:inline distT="0" distB="0" distL="0" distR="0" wp14:anchorId="33910B3D" wp14:editId="373A870E">
            <wp:extent cx="5357356" cy="4660900"/>
            <wp:effectExtent l="0" t="0" r="2540" b="0"/>
            <wp:docPr id="1247557904" name="Picture 1" descr="Figure showing Victoria's emissions reductions targets: 28-33% below 2005 levels in 2025, 45-50% in 2030, 75-80% in 2035, and net zero in 2045. The figure shows 2023 emissions are within range of Victoria's 2025 emissions reduction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57904" name="Picture 1" descr="Figure showing Victoria's emissions reductions targets: 28-33% below 2005 levels in 2025, 45-50% in 2030, 75-80% in 2035, and net zero in 2045. The figure shows 2023 emissions are within range of Victoria's 2025 emissions reduction target."/>
                    <pic:cNvPicPr/>
                  </pic:nvPicPr>
                  <pic:blipFill>
                    <a:blip r:embed="rId10"/>
                    <a:stretch>
                      <a:fillRect/>
                    </a:stretch>
                  </pic:blipFill>
                  <pic:spPr>
                    <a:xfrm>
                      <a:off x="0" y="0"/>
                      <a:ext cx="5357356" cy="4660900"/>
                    </a:xfrm>
                    <a:prstGeom prst="rect">
                      <a:avLst/>
                    </a:prstGeom>
                  </pic:spPr>
                </pic:pic>
              </a:graphicData>
            </a:graphic>
          </wp:inline>
        </w:drawing>
      </w:r>
    </w:p>
    <w:p w14:paraId="354D422B" w14:textId="093C9653" w:rsidR="002627A0" w:rsidRPr="00152AD2" w:rsidRDefault="002627A0" w:rsidP="002627A0">
      <w:pPr>
        <w:pStyle w:val="BodyText"/>
        <w:rPr>
          <w:lang w:val="en-AU"/>
        </w:rPr>
      </w:pPr>
      <w:r w:rsidRPr="00152AD2">
        <w:rPr>
          <w:lang w:val="en-AU"/>
        </w:rPr>
        <w:t xml:space="preserve">This report is the eighth in a series of annual emissions reports required under the Act. It helps track progress being made towards these </w:t>
      </w:r>
      <w:proofErr w:type="gramStart"/>
      <w:r w:rsidRPr="00152AD2">
        <w:rPr>
          <w:lang w:val="en-AU"/>
        </w:rPr>
        <w:t>emissions</w:t>
      </w:r>
      <w:proofErr w:type="gramEnd"/>
      <w:r w:rsidRPr="00152AD2">
        <w:rPr>
          <w:lang w:val="en-AU"/>
        </w:rPr>
        <w:t xml:space="preserve"> reduction targets. The report provides an overview of the state’s greenhouse gas emissions in 2023 – the most recent year with available data. It explains emissions sources and trends over time, including some likely drivers of those trends.</w:t>
      </w:r>
    </w:p>
    <w:p w14:paraId="54A8F830" w14:textId="4EAA4D9C" w:rsidR="006D709E" w:rsidRPr="00152AD2" w:rsidRDefault="006D709E" w:rsidP="006D709E">
      <w:pPr>
        <w:pStyle w:val="Heading1"/>
        <w:rPr>
          <w:lang w:val="en-AU"/>
        </w:rPr>
      </w:pPr>
      <w:bookmarkStart w:id="2" w:name="_Toc205897587"/>
      <w:r w:rsidRPr="00152AD2">
        <w:rPr>
          <w:lang w:val="en-AU"/>
        </w:rPr>
        <w:lastRenderedPageBreak/>
        <w:t>Victoria has cut emissions by almost a third since 2005</w:t>
      </w:r>
      <w:bookmarkEnd w:id="2"/>
    </w:p>
    <w:p w14:paraId="71462705" w14:textId="77777777" w:rsidR="006D709E" w:rsidRPr="006D709E" w:rsidRDefault="006D709E" w:rsidP="006D709E">
      <w:pPr>
        <w:pStyle w:val="BodyText"/>
        <w:rPr>
          <w:lang w:val="en-AU"/>
        </w:rPr>
      </w:pPr>
      <w:r w:rsidRPr="006D709E">
        <w:rPr>
          <w:lang w:val="en-AU"/>
        </w:rPr>
        <w:t>Victoria’s net greenhouse gas emissions for 2023 were 84.2 Mt CO</w:t>
      </w:r>
      <w:r w:rsidRPr="006D709E">
        <w:rPr>
          <w:vertAlign w:val="subscript"/>
          <w:lang w:val="en-AU"/>
        </w:rPr>
        <w:t>2</w:t>
      </w:r>
      <w:r w:rsidRPr="006D709E">
        <w:rPr>
          <w:lang w:val="en-AU"/>
        </w:rPr>
        <w:t>-e. This is 31.4% below 2005 emissions – within range of Victoria’s 2025 emissions reduction target to reduce emissions by 28–33% below 2005 levels.</w:t>
      </w:r>
    </w:p>
    <w:p w14:paraId="7BD36E95" w14:textId="7758A160" w:rsidR="00000541" w:rsidRPr="00152AD2" w:rsidRDefault="00000541" w:rsidP="00000541">
      <w:pPr>
        <w:pStyle w:val="Caption"/>
        <w:keepNext/>
        <w:spacing w:after="360"/>
      </w:pPr>
      <w:r w:rsidRPr="00152AD2">
        <w:t xml:space="preserve">Figure </w:t>
      </w:r>
      <w:fldSimple w:instr=" SEQ Figure \* ARABIC ">
        <w:r w:rsidR="005D0C8B">
          <w:rPr>
            <w:noProof/>
          </w:rPr>
          <w:t>2</w:t>
        </w:r>
      </w:fldSimple>
      <w:r w:rsidRPr="00152AD2">
        <w:t>: Victoria’s total net emissions, 2005 to 2023</w:t>
      </w:r>
    </w:p>
    <w:p w14:paraId="4C113783" w14:textId="400BEE7A" w:rsidR="00000541" w:rsidRPr="00152AD2" w:rsidRDefault="00000541" w:rsidP="00000541">
      <w:pPr>
        <w:pStyle w:val="BodyText"/>
        <w:rPr>
          <w:lang w:val="en-AU"/>
        </w:rPr>
      </w:pPr>
      <w:r w:rsidRPr="00152AD2">
        <w:rPr>
          <w:noProof/>
          <w:lang w:val="en-AU"/>
        </w:rPr>
        <w:drawing>
          <wp:inline distT="0" distB="0" distL="0" distR="0" wp14:anchorId="24C8A5A6" wp14:editId="224CF6A5">
            <wp:extent cx="6120130" cy="1892935"/>
            <wp:effectExtent l="0" t="0" r="1270" b="0"/>
            <wp:docPr id="1654681145" name="Picture 2" descr="Graph showing emissions increasing to a peak in 2010, and since then emissions have been generally trending down. In 2023, emissions reduced by 31.4% below 2005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81145" name="Picture 2" descr="Graph showing emissions increasing to a peak in 2010, and since then emissions have been generally trending down. In 2023, emissions reduced by 31.4% below 2005 levels."/>
                    <pic:cNvPicPr/>
                  </pic:nvPicPr>
                  <pic:blipFill>
                    <a:blip r:embed="rId11"/>
                    <a:stretch>
                      <a:fillRect/>
                    </a:stretch>
                  </pic:blipFill>
                  <pic:spPr>
                    <a:xfrm>
                      <a:off x="0" y="0"/>
                      <a:ext cx="6120130" cy="1892935"/>
                    </a:xfrm>
                    <a:prstGeom prst="rect">
                      <a:avLst/>
                    </a:prstGeom>
                  </pic:spPr>
                </pic:pic>
              </a:graphicData>
            </a:graphic>
          </wp:inline>
        </w:drawing>
      </w:r>
    </w:p>
    <w:p w14:paraId="5EFE2329" w14:textId="2213B56B" w:rsidR="0000790F" w:rsidRPr="00152AD2" w:rsidRDefault="006D709E" w:rsidP="006D709E">
      <w:pPr>
        <w:pStyle w:val="BodyText"/>
        <w:rPr>
          <w:lang w:val="en-AU"/>
        </w:rPr>
      </w:pPr>
      <w:r w:rsidRPr="006D709E">
        <w:rPr>
          <w:lang w:val="en-AU"/>
        </w:rPr>
        <w:t>Victoria’s 2023 emissions increased by a small amount (1.7 Mt CO</w:t>
      </w:r>
      <w:r w:rsidRPr="006D709E">
        <w:rPr>
          <w:vertAlign w:val="subscript"/>
          <w:lang w:val="en-AU"/>
        </w:rPr>
        <w:t>2</w:t>
      </w:r>
      <w:r w:rsidRPr="006D709E">
        <w:rPr>
          <w:lang w:val="en-AU"/>
        </w:rPr>
        <w:t>-e or 2%) compared to 2022</w:t>
      </w:r>
      <w:r w:rsidR="009844CD">
        <w:rPr>
          <w:lang w:val="en-AU"/>
        </w:rPr>
        <w:t>. T</w:t>
      </w:r>
      <w:r w:rsidRPr="006D709E">
        <w:rPr>
          <w:lang w:val="en-AU"/>
        </w:rPr>
        <w:t>his was partly due to natural causes such as wet weather conditions in both 2022 and 2023, which increased emissions from soil carbon in forests</w:t>
      </w:r>
      <w:r w:rsidR="009844CD">
        <w:rPr>
          <w:lang w:val="en-AU"/>
        </w:rPr>
        <w:t xml:space="preserve"> </w:t>
      </w:r>
      <w:r w:rsidR="009844CD" w:rsidRPr="009844CD">
        <w:rPr>
          <w:lang w:val="en-AU"/>
        </w:rPr>
        <w:t>– these short-term natural fluctuations are expected to even out over time</w:t>
      </w:r>
      <w:r w:rsidRPr="006D709E">
        <w:rPr>
          <w:lang w:val="en-AU"/>
        </w:rPr>
        <w:t>. Transport emissions also contributed to the increase as the sector continued to rebound following the end of COVID-19 restrictions.</w:t>
      </w:r>
    </w:p>
    <w:p w14:paraId="273A4C75" w14:textId="481B6BAA" w:rsidR="006D709E" w:rsidRPr="00152AD2" w:rsidRDefault="006D709E" w:rsidP="006D709E">
      <w:pPr>
        <w:pStyle w:val="BodyText"/>
        <w:rPr>
          <w:lang w:val="en-AU"/>
        </w:rPr>
      </w:pPr>
      <w:r w:rsidRPr="00152AD2">
        <w:rPr>
          <w:lang w:val="en-AU"/>
        </w:rPr>
        <w:t>Importantly, in 2023, emissions from burning fossil fuels in Victoria have continued to decline. This is a result of the transition from coal-fired electricity generation to renewable sources, and Victorians using less fossil gas in homes and industry.</w:t>
      </w:r>
    </w:p>
    <w:p w14:paraId="7442F229" w14:textId="03E39D7D" w:rsidR="006D709E" w:rsidRPr="00152AD2" w:rsidRDefault="006D709E" w:rsidP="006D709E">
      <w:pPr>
        <w:pStyle w:val="Heading2"/>
        <w:rPr>
          <w:lang w:val="en-AU"/>
        </w:rPr>
      </w:pPr>
      <w:bookmarkStart w:id="3" w:name="_Toc205897588"/>
      <w:r w:rsidRPr="00152AD2">
        <w:rPr>
          <w:lang w:val="en-AU"/>
        </w:rPr>
        <w:lastRenderedPageBreak/>
        <w:t>Unpacking emissions reporting</w:t>
      </w:r>
      <w:bookmarkEnd w:id="3"/>
    </w:p>
    <w:p w14:paraId="17430687" w14:textId="77777777" w:rsidR="0000790F" w:rsidRPr="00152AD2" w:rsidRDefault="006D709E" w:rsidP="00F35AAC">
      <w:pPr>
        <w:pStyle w:val="BodyText"/>
        <w:ind w:right="-143"/>
        <w:rPr>
          <w:lang w:val="en-AU"/>
        </w:rPr>
      </w:pPr>
      <w:r w:rsidRPr="00152AD2">
        <w:rPr>
          <w:lang w:val="en-AU"/>
        </w:rPr>
        <w:t>Net emissions represent the difference between the greenhouse gases released into the atmosphere and those removed from it. There are many types of greenhouse gases, including carbon dioxide, methane, and nitrous oxide. To simplify comparisons across various greenhouse gases, they are expressed in terms of millions of tonnes of carbon dioxide equivalent (Mt CO</w:t>
      </w:r>
      <w:r w:rsidRPr="00152AD2">
        <w:rPr>
          <w:vertAlign w:val="subscript"/>
          <w:lang w:val="en-AU"/>
        </w:rPr>
        <w:t>2</w:t>
      </w:r>
      <w:r w:rsidRPr="00152AD2">
        <w:rPr>
          <w:lang w:val="en-AU"/>
        </w:rPr>
        <w:t>-e), indicating the amount of carbon dioxide that would cause the same amount of global warming as a particular greenhouse gas over a 100-year period.</w:t>
      </w:r>
    </w:p>
    <w:p w14:paraId="05068E15" w14:textId="7F86813C" w:rsidR="006D709E" w:rsidRPr="00152AD2" w:rsidRDefault="006D709E" w:rsidP="006D709E">
      <w:pPr>
        <w:pStyle w:val="BodyText"/>
        <w:rPr>
          <w:lang w:val="en-AU"/>
        </w:rPr>
      </w:pPr>
      <w:r w:rsidRPr="00152AD2">
        <w:rPr>
          <w:lang w:val="en-AU"/>
        </w:rPr>
        <w:t>This report covers financial years, with 2023 referring to the period from 1 July 2022 to 30 June 2023. 2023 is the latest year for which official emissions data is available. This data was published by the Commonwealth Government in May 2025.</w:t>
      </w:r>
    </w:p>
    <w:p w14:paraId="1669DE99" w14:textId="77777777" w:rsidR="0000790F" w:rsidRPr="00152AD2" w:rsidRDefault="00000541" w:rsidP="00000541">
      <w:pPr>
        <w:pStyle w:val="Heading2"/>
        <w:rPr>
          <w:lang w:val="en-AU"/>
        </w:rPr>
      </w:pPr>
      <w:bookmarkStart w:id="4" w:name="_Toc205897589"/>
      <w:r w:rsidRPr="00152AD2">
        <w:rPr>
          <w:lang w:val="en-AU"/>
        </w:rPr>
        <w:t>Victorians emit fewer greenhouse gases than the national average</w:t>
      </w:r>
      <w:bookmarkEnd w:id="4"/>
    </w:p>
    <w:p w14:paraId="00C49787" w14:textId="42A695C6" w:rsidR="00000541" w:rsidRPr="00152AD2" w:rsidRDefault="00000541" w:rsidP="00000541">
      <w:pPr>
        <w:pStyle w:val="BodyText"/>
        <w:rPr>
          <w:lang w:val="en-AU"/>
        </w:rPr>
      </w:pPr>
      <w:r w:rsidRPr="00152AD2">
        <w:rPr>
          <w:lang w:val="en-AU"/>
        </w:rPr>
        <w:t xml:space="preserve">Victoria’s emissions account for 18.6% of Australia’s total emissions. This makes Victoria the fourth largest contributor to national emissions (Figure </w:t>
      </w:r>
      <w:r w:rsidR="005D0C8B">
        <w:rPr>
          <w:lang w:val="en-AU"/>
        </w:rPr>
        <w:t>3</w:t>
      </w:r>
      <w:r w:rsidRPr="00152AD2">
        <w:rPr>
          <w:lang w:val="en-AU"/>
        </w:rPr>
        <w:t>).</w:t>
      </w:r>
    </w:p>
    <w:p w14:paraId="1C422CD9" w14:textId="2A966851" w:rsidR="00F35AAC" w:rsidRPr="00152AD2" w:rsidRDefault="00F35AAC" w:rsidP="00E26450">
      <w:pPr>
        <w:pStyle w:val="Caption"/>
        <w:keepNext/>
        <w:spacing w:after="360"/>
      </w:pPr>
      <w:r w:rsidRPr="00152AD2">
        <w:t xml:space="preserve">Figure </w:t>
      </w:r>
      <w:fldSimple w:instr=" SEQ Figure \* ARABIC ">
        <w:r w:rsidR="005D0C8B">
          <w:rPr>
            <w:noProof/>
          </w:rPr>
          <w:t>3</w:t>
        </w:r>
      </w:fldSimple>
      <w:r w:rsidRPr="00152AD2">
        <w:t>: Contribution to national emissions by state and territory, 2023</w:t>
      </w:r>
    </w:p>
    <w:p w14:paraId="5AA54079" w14:textId="6F200B58" w:rsidR="00000541" w:rsidRPr="00152AD2" w:rsidRDefault="00F35AAC" w:rsidP="00000541">
      <w:pPr>
        <w:pStyle w:val="BodyText"/>
        <w:rPr>
          <w:lang w:val="en-AU"/>
        </w:rPr>
      </w:pPr>
      <w:r w:rsidRPr="00152AD2">
        <w:rPr>
          <w:noProof/>
          <w:lang w:val="en-AU"/>
        </w:rPr>
        <w:drawing>
          <wp:inline distT="0" distB="0" distL="0" distR="0" wp14:anchorId="3B601552" wp14:editId="04FA7687">
            <wp:extent cx="6120130" cy="2564765"/>
            <wp:effectExtent l="0" t="0" r="1270" b="635"/>
            <wp:docPr id="1050271789" name="Picture 3" descr="Graph showing in 2023, Victoria's emissions contributed 18.6% to Australia's emissions. Other states and territories contributed: QLD 28.3%, NSW 25.2%, WA 19.7%, NT 5.2%, SA 3.6%, ACT 0.3%, and Tasmani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71789" name="Picture 3" descr="Graph showing in 2023, Victoria's emissions contributed 18.6% to Australia's emissions. Other states and territories contributed: QLD 28.3%, NSW 25.2%, WA 19.7%, NT 5.2%, SA 3.6%, ACT 0.3%, and Tasmania -1.1%."/>
                    <pic:cNvPicPr/>
                  </pic:nvPicPr>
                  <pic:blipFill>
                    <a:blip r:embed="rId12"/>
                    <a:stretch>
                      <a:fillRect/>
                    </a:stretch>
                  </pic:blipFill>
                  <pic:spPr>
                    <a:xfrm>
                      <a:off x="0" y="0"/>
                      <a:ext cx="6120130" cy="2564765"/>
                    </a:xfrm>
                    <a:prstGeom prst="rect">
                      <a:avLst/>
                    </a:prstGeom>
                  </pic:spPr>
                </pic:pic>
              </a:graphicData>
            </a:graphic>
          </wp:inline>
        </w:drawing>
      </w:r>
    </w:p>
    <w:p w14:paraId="10A73FFF" w14:textId="4457AE8D" w:rsidR="00000541" w:rsidRPr="00152AD2" w:rsidRDefault="00000541" w:rsidP="00000541">
      <w:pPr>
        <w:pStyle w:val="BodyText"/>
        <w:rPr>
          <w:lang w:val="en-AU"/>
        </w:rPr>
      </w:pPr>
      <w:r w:rsidRPr="00152AD2">
        <w:rPr>
          <w:lang w:val="en-AU"/>
        </w:rPr>
        <w:lastRenderedPageBreak/>
        <w:t xml:space="preserve">On average, Victorians emitted 12.3 tonnes of CO2-e per person in 2023, down from 12.4 tonnes in 2022. This is lower than the national average and places Victoria below all states and territories except Tasmania, South Australia and the Australian Capital Territory (Figure </w:t>
      </w:r>
      <w:r w:rsidR="005D0C8B">
        <w:rPr>
          <w:lang w:val="en-AU"/>
        </w:rPr>
        <w:t>4</w:t>
      </w:r>
      <w:r w:rsidRPr="00152AD2">
        <w:rPr>
          <w:lang w:val="en-AU"/>
        </w:rPr>
        <w:t>). Compared to Victoria, these states and territory rely more heavily on renewable energy, meaning they produce less emissions from fossil fuel-based electricity. Tasmania also has extensive forest cover that absorbs carbon, contributing to its negative emissions.</w:t>
      </w:r>
    </w:p>
    <w:p w14:paraId="09226701" w14:textId="14289648" w:rsidR="00E26450" w:rsidRPr="00152AD2" w:rsidRDefault="00E26450" w:rsidP="00E26450">
      <w:pPr>
        <w:pStyle w:val="Caption"/>
        <w:keepNext/>
        <w:spacing w:after="240"/>
      </w:pPr>
      <w:r w:rsidRPr="00152AD2">
        <w:t xml:space="preserve">Figure </w:t>
      </w:r>
      <w:fldSimple w:instr=" SEQ Figure \* ARABIC ">
        <w:r w:rsidR="005D0C8B">
          <w:rPr>
            <w:noProof/>
          </w:rPr>
          <w:t>4</w:t>
        </w:r>
      </w:fldSimple>
      <w:r w:rsidRPr="00152AD2">
        <w:t>: Per capita emissions in Australia by state and territory, 2023</w:t>
      </w:r>
    </w:p>
    <w:p w14:paraId="18E345ED" w14:textId="7A3602B3" w:rsidR="00000541" w:rsidRPr="00152AD2" w:rsidRDefault="00F35AAC" w:rsidP="00000541">
      <w:pPr>
        <w:pStyle w:val="BodyText"/>
        <w:rPr>
          <w:lang w:val="en-AU"/>
        </w:rPr>
      </w:pPr>
      <w:r w:rsidRPr="00152AD2">
        <w:rPr>
          <w:noProof/>
          <w:lang w:val="en-AU"/>
        </w:rPr>
        <w:drawing>
          <wp:inline distT="0" distB="0" distL="0" distR="0" wp14:anchorId="051297F3" wp14:editId="41D679C2">
            <wp:extent cx="6120130" cy="2998470"/>
            <wp:effectExtent l="0" t="0" r="1270" b="0"/>
            <wp:docPr id="901865992" name="Picture 4" descr="Graph showing in 2023, Victoria's per capita emissions were 12.3 t CO2-e. This was less than the national average of 17.0 t CO2-e. Per capita emissions in other states and territories in 2023 were: Tasmania at -8.6t CO2-e/person, ACT at 2.9t CO2-e/person, SA at 8.8t CO2-e/person, NSW at 13.7t CO2-e/person, QLD at 23.5t CO2-e/person, WA at 31.0t CO2-e/person and NT at 93.2t CO2-e/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65992" name="Picture 4" descr="Graph showing in 2023, Victoria's per capita emissions were 12.3 t CO2-e. This was less than the national average of 17.0 t CO2-e. Per capita emissions in other states and territories in 2023 were: Tasmania at -8.6t CO2-e/person, ACT at 2.9t CO2-e/person, SA at 8.8t CO2-e/person, NSW at 13.7t CO2-e/person, QLD at 23.5t CO2-e/person, WA at 31.0t CO2-e/person and NT at 93.2t CO2-e/person."/>
                    <pic:cNvPicPr/>
                  </pic:nvPicPr>
                  <pic:blipFill>
                    <a:blip r:embed="rId13"/>
                    <a:stretch>
                      <a:fillRect/>
                    </a:stretch>
                  </pic:blipFill>
                  <pic:spPr>
                    <a:xfrm>
                      <a:off x="0" y="0"/>
                      <a:ext cx="6120130" cy="2998470"/>
                    </a:xfrm>
                    <a:prstGeom prst="rect">
                      <a:avLst/>
                    </a:prstGeom>
                  </pic:spPr>
                </pic:pic>
              </a:graphicData>
            </a:graphic>
          </wp:inline>
        </w:drawing>
      </w:r>
    </w:p>
    <w:p w14:paraId="61FE5203" w14:textId="77777777" w:rsidR="00000541" w:rsidRPr="00152AD2" w:rsidRDefault="00000541" w:rsidP="00000541">
      <w:pPr>
        <w:pStyle w:val="Heading2"/>
        <w:rPr>
          <w:lang w:val="en-AU"/>
        </w:rPr>
      </w:pPr>
      <w:bookmarkStart w:id="5" w:name="_Toc205897590"/>
      <w:r w:rsidRPr="00152AD2">
        <w:rPr>
          <w:lang w:val="en-AU"/>
        </w:rPr>
        <w:t>Victoria’s population and economy are growing, yet emissions are falling</w:t>
      </w:r>
      <w:bookmarkEnd w:id="5"/>
    </w:p>
    <w:p w14:paraId="268CB4DF" w14:textId="77777777" w:rsidR="0000790F" w:rsidRPr="00152AD2" w:rsidRDefault="00000541" w:rsidP="00000541">
      <w:pPr>
        <w:pStyle w:val="BodyText"/>
        <w:rPr>
          <w:lang w:val="en-AU"/>
        </w:rPr>
      </w:pPr>
      <w:r w:rsidRPr="00152AD2">
        <w:rPr>
          <w:lang w:val="en-AU"/>
        </w:rPr>
        <w:t>In the past, as Victoria’s population and economy grew, so did emissions. However, in the last decade or so, our emissions have started to decrease, even though Victoria’s population and economy have continued to grow.</w:t>
      </w:r>
    </w:p>
    <w:p w14:paraId="4D652D84" w14:textId="768D51EC" w:rsidR="00000541" w:rsidRPr="00152AD2" w:rsidRDefault="00000541" w:rsidP="00000541">
      <w:pPr>
        <w:pStyle w:val="BodyText"/>
        <w:rPr>
          <w:lang w:val="en-AU"/>
        </w:rPr>
      </w:pPr>
      <w:r w:rsidRPr="00152AD2">
        <w:rPr>
          <w:lang w:val="en-AU"/>
        </w:rPr>
        <w:t xml:space="preserve">This is shown by the emissions intensity of Victoria’s economy, which measures the amount of emissions that are produced for every dollar the state’s economy generates. </w:t>
      </w:r>
      <w:r w:rsidRPr="00152AD2">
        <w:rPr>
          <w:lang w:val="en-AU"/>
        </w:rPr>
        <w:lastRenderedPageBreak/>
        <w:t>Since 1990, this has dropped by 69%, meaning that for every dollar of economic activity, we’re releasing far less emissions.</w:t>
      </w:r>
    </w:p>
    <w:p w14:paraId="5FFB5265" w14:textId="401B7AED" w:rsidR="00E26450" w:rsidRPr="00152AD2" w:rsidRDefault="00E26450" w:rsidP="00E26450">
      <w:pPr>
        <w:pStyle w:val="Caption"/>
        <w:keepNext/>
        <w:spacing w:after="360"/>
      </w:pPr>
      <w:r w:rsidRPr="00152AD2">
        <w:t xml:space="preserve">Figure </w:t>
      </w:r>
      <w:fldSimple w:instr=" SEQ Figure \* ARABIC ">
        <w:r w:rsidR="005D0C8B">
          <w:rPr>
            <w:noProof/>
          </w:rPr>
          <w:t>5</w:t>
        </w:r>
      </w:fldSimple>
      <w:r w:rsidRPr="00152AD2">
        <w:t>: Changes in emissions, population and economic growth (represented by Gross State Product, GSP) – Victoria, 1990 to 2023</w:t>
      </w:r>
    </w:p>
    <w:p w14:paraId="079B1A40" w14:textId="24256700" w:rsidR="00F35AAC" w:rsidRPr="00152AD2" w:rsidRDefault="00F35AAC" w:rsidP="00000541">
      <w:pPr>
        <w:pStyle w:val="BodyText"/>
        <w:rPr>
          <w:lang w:val="en-AU"/>
        </w:rPr>
      </w:pPr>
      <w:r w:rsidRPr="00152AD2">
        <w:rPr>
          <w:noProof/>
          <w:lang w:val="en-AU"/>
        </w:rPr>
        <w:drawing>
          <wp:inline distT="0" distB="0" distL="0" distR="0" wp14:anchorId="49ED321B" wp14:editId="5502CF6C">
            <wp:extent cx="6120130" cy="2983230"/>
            <wp:effectExtent l="0" t="0" r="1270" b="1270"/>
            <wp:docPr id="432821930" name="Picture 5" descr="Graph showing between 1990 and 2023, GSP has increased by 150%, population has increased by 56%, while emissions have declined by 22%. The graph shows that emissions increased as population and GSP grew until around 2010, when population and GSP continued to grow while emissions have decre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21930" name="Picture 5" descr="Graph showing between 1990 and 2023, GSP has increased by 150%, population has increased by 56%, while emissions have declined by 22%. The graph shows that emissions increased as population and GSP grew until around 2010, when population and GSP continued to grow while emissions have decreased."/>
                    <pic:cNvPicPr/>
                  </pic:nvPicPr>
                  <pic:blipFill>
                    <a:blip r:embed="rId14"/>
                    <a:stretch>
                      <a:fillRect/>
                    </a:stretch>
                  </pic:blipFill>
                  <pic:spPr>
                    <a:xfrm>
                      <a:off x="0" y="0"/>
                      <a:ext cx="6120130" cy="2983230"/>
                    </a:xfrm>
                    <a:prstGeom prst="rect">
                      <a:avLst/>
                    </a:prstGeom>
                  </pic:spPr>
                </pic:pic>
              </a:graphicData>
            </a:graphic>
          </wp:inline>
        </w:drawing>
      </w:r>
    </w:p>
    <w:p w14:paraId="4425CCCC" w14:textId="4F692F89" w:rsidR="00E26450" w:rsidRPr="00152AD2" w:rsidRDefault="00E26450" w:rsidP="00E26450">
      <w:pPr>
        <w:pStyle w:val="Heading1"/>
        <w:pageBreakBefore/>
        <w:rPr>
          <w:lang w:val="en-AU"/>
        </w:rPr>
      </w:pPr>
      <w:bookmarkStart w:id="6" w:name="_Toc205897591"/>
      <w:r w:rsidRPr="00152AD2">
        <w:rPr>
          <w:lang w:val="en-AU"/>
        </w:rPr>
        <w:lastRenderedPageBreak/>
        <w:t>The sources of Victoria’s emissions</w:t>
      </w:r>
      <w:bookmarkEnd w:id="6"/>
    </w:p>
    <w:p w14:paraId="69D92EEF" w14:textId="412B9DCE" w:rsidR="00A00122" w:rsidRPr="00152AD2" w:rsidRDefault="00A00122" w:rsidP="00A00122">
      <w:pPr>
        <w:pStyle w:val="Caption"/>
        <w:keepNext/>
        <w:spacing w:after="360"/>
      </w:pPr>
      <w:r w:rsidRPr="00152AD2">
        <w:t xml:space="preserve">Figure </w:t>
      </w:r>
      <w:fldSimple w:instr=" SEQ Figure \* ARABIC ">
        <w:r w:rsidR="005D0C8B">
          <w:rPr>
            <w:noProof/>
          </w:rPr>
          <w:t>6</w:t>
        </w:r>
      </w:fldSimple>
      <w:r w:rsidRPr="00152AD2">
        <w:t xml:space="preserve">: Victorian </w:t>
      </w:r>
      <w:r w:rsidR="000E57A3">
        <w:t xml:space="preserve">net </w:t>
      </w:r>
      <w:r w:rsidRPr="00152AD2">
        <w:t>emissions by sector and energy subsector, 2023</w:t>
      </w:r>
    </w:p>
    <w:p w14:paraId="2D726DC6" w14:textId="21C66A11" w:rsidR="00E26450" w:rsidRPr="00152AD2" w:rsidRDefault="00A62F8B" w:rsidP="00E26450">
      <w:pPr>
        <w:pStyle w:val="BodyText"/>
        <w:rPr>
          <w:lang w:val="en-AU"/>
        </w:rPr>
      </w:pPr>
      <w:r w:rsidRPr="00152AD2">
        <w:rPr>
          <w:noProof/>
          <w:lang w:val="en-AU"/>
        </w:rPr>
        <w:drawing>
          <wp:inline distT="0" distB="0" distL="0" distR="0" wp14:anchorId="53DFCA91" wp14:editId="27E971DE">
            <wp:extent cx="6222521" cy="7383025"/>
            <wp:effectExtent l="0" t="0" r="635" b="0"/>
            <wp:docPr id="1759373622" name="Picture 6" descr="Figure showing Victoria's net emissions by sector for 2023. These are: Agriculture, 15.2 Mt CO2-e (18.1% of net emissions), Waste, 3.3 Mt CO2-e (3.9% of net emissions), Industrial processes and product use, 3.7 Mt CO2-e (4.4% of net emissions), Fugitive emissions from fuels, 2.0 Mt CO2-e (2.3% of net emissions), Transport, 22.0 Mt CO2-e (26.1% of net emissions), Fuel combustion, 14.1 Mt CO2-e (16.8% of net emissions), Electricity generation, 38.8 Mt CO2-e (46.2% of net emissions), and Land use, land use change and forestry, -15.0 Mt CO2-e (-17.9% of net emissions). The figure shows that the energy sector is made of four sub-sectors: Fugitive emissions from fuels, Transport, Fuel combustion, and Electricity 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73622" name="Picture 6" descr="Figure showing Victoria's net emissions by sector for 2023. These are: Agriculture, 15.2 Mt CO2-e (18.1% of net emissions), Waste, 3.3 Mt CO2-e (3.9% of net emissions), Industrial processes and product use, 3.7 Mt CO2-e (4.4% of net emissions), Fugitive emissions from fuels, 2.0 Mt CO2-e (2.3% of net emissions), Transport, 22.0 Mt CO2-e (26.1% of net emissions), Fuel combustion, 14.1 Mt CO2-e (16.8% of net emissions), Electricity generation, 38.8 Mt CO2-e (46.2% of net emissions), and Land use, land use change and forestry, -15.0 Mt CO2-e (-17.9% of net emissions). The figure shows that the energy sector is made of four sub-sectors: Fugitive emissions from fuels, Transport, Fuel combustion, and Electricity generation."/>
                    <pic:cNvPicPr/>
                  </pic:nvPicPr>
                  <pic:blipFill rotWithShape="1">
                    <a:blip r:embed="rId15"/>
                    <a:srcRect r="2462"/>
                    <a:stretch>
                      <a:fillRect/>
                    </a:stretch>
                  </pic:blipFill>
                  <pic:spPr bwMode="auto">
                    <a:xfrm>
                      <a:off x="0" y="0"/>
                      <a:ext cx="6234576" cy="7397328"/>
                    </a:xfrm>
                    <a:prstGeom prst="rect">
                      <a:avLst/>
                    </a:prstGeom>
                    <a:ln>
                      <a:noFill/>
                    </a:ln>
                    <a:extLst>
                      <a:ext uri="{53640926-AAD7-44D8-BBD7-CCE9431645EC}">
                        <a14:shadowObscured xmlns:a14="http://schemas.microsoft.com/office/drawing/2010/main"/>
                      </a:ext>
                    </a:extLst>
                  </pic:spPr>
                </pic:pic>
              </a:graphicData>
            </a:graphic>
          </wp:inline>
        </w:drawing>
      </w:r>
    </w:p>
    <w:p w14:paraId="7EB08CBC" w14:textId="77777777" w:rsidR="00330FE4" w:rsidRPr="00152AD2" w:rsidRDefault="00330FE4" w:rsidP="00330FE4">
      <w:pPr>
        <w:pStyle w:val="Heading2"/>
        <w:rPr>
          <w:lang w:val="en-AU"/>
        </w:rPr>
      </w:pPr>
      <w:bookmarkStart w:id="7" w:name="_Toc205897592"/>
      <w:r w:rsidRPr="00152AD2">
        <w:rPr>
          <w:lang w:val="en-AU"/>
        </w:rPr>
        <w:lastRenderedPageBreak/>
        <w:t>Emissions sectors</w:t>
      </w:r>
      <w:bookmarkEnd w:id="7"/>
    </w:p>
    <w:p w14:paraId="34ECE240" w14:textId="5857D687" w:rsidR="00330FE4" w:rsidRPr="00152AD2" w:rsidRDefault="00330FE4" w:rsidP="0000790F">
      <w:pPr>
        <w:pStyle w:val="BodyText"/>
        <w:spacing w:after="720"/>
        <w:rPr>
          <w:lang w:val="en-AU"/>
        </w:rPr>
      </w:pPr>
      <w:r w:rsidRPr="00152AD2">
        <w:rPr>
          <w:lang w:val="en-AU"/>
        </w:rPr>
        <w:t>The Intergovernmental Panel on Climate Change (IPCC) is the United Nations body for assessing the science related to climate change. They set the standards for international emissions reporting. The reporting uses standard ‘IPCC emissions sectors’ to categorise where emissions come from. These sectors are based on the processes which generate emissions. This makes reports from different countries easier to compare and reduces double-counting of emissions. The emissions sectors are not the same as economic sectors. For example, fuels burned on farms are categorised as fuel combustion emissions, not agriculture emissions.</w:t>
      </w:r>
    </w:p>
    <w:p w14:paraId="4940D293" w14:textId="54FD0BDE" w:rsidR="0000790F" w:rsidRPr="00152AD2" w:rsidRDefault="0000790F" w:rsidP="0000790F">
      <w:pPr>
        <w:pStyle w:val="BodyText"/>
        <w:rPr>
          <w:lang w:val="en-AU"/>
        </w:rPr>
      </w:pPr>
      <w:r w:rsidRPr="00152AD2">
        <w:rPr>
          <w:lang w:val="en-AU"/>
        </w:rPr>
        <w:t>A</w:t>
      </w:r>
      <w:r w:rsidR="000E57A3">
        <w:rPr>
          <w:lang w:val="en-AU"/>
        </w:rPr>
        <w:t>round</w:t>
      </w:r>
      <w:r w:rsidRPr="00152AD2">
        <w:rPr>
          <w:lang w:val="en-AU"/>
        </w:rPr>
        <w:t xml:space="preserve"> 90% of Victoria’s </w:t>
      </w:r>
      <w:r w:rsidR="000E57A3">
        <w:rPr>
          <w:lang w:val="en-AU"/>
        </w:rPr>
        <w:t xml:space="preserve">net </w:t>
      </w:r>
      <w:r w:rsidRPr="00152AD2">
        <w:rPr>
          <w:lang w:val="en-AU"/>
        </w:rPr>
        <w:t>greenhouse gas emissions come from burning fossil fuels to make energy.</w:t>
      </w:r>
      <w:r w:rsidR="001D28AE">
        <w:rPr>
          <w:rStyle w:val="FootnoteReference"/>
          <w:lang w:val="en-AU"/>
        </w:rPr>
        <w:footnoteReference w:id="1"/>
      </w:r>
      <w:r w:rsidRPr="00152AD2">
        <w:rPr>
          <w:lang w:val="en-AU"/>
        </w:rPr>
        <w:t xml:space="preserve"> This energy is used for electricity generation, transport and fuel combustion. Electricity generation accounts for </w:t>
      </w:r>
      <w:proofErr w:type="gramStart"/>
      <w:r w:rsidRPr="00152AD2">
        <w:rPr>
          <w:lang w:val="en-AU"/>
        </w:rPr>
        <w:t>the majority of</w:t>
      </w:r>
      <w:proofErr w:type="gramEnd"/>
      <w:r w:rsidRPr="00152AD2">
        <w:rPr>
          <w:lang w:val="en-AU"/>
        </w:rPr>
        <w:t xml:space="preserve"> fossil fuel emissions and makes almost half (46%) of the state’s total emissions. The use of fossil fuels in cars, trucks and other transport contributes 26% of total emissions. Burning fossil fuels in homes, businesses and industry contributes 17%.</w:t>
      </w:r>
    </w:p>
    <w:p w14:paraId="6766F35F" w14:textId="5479C286" w:rsidR="0000790F" w:rsidRPr="00152AD2" w:rsidRDefault="0000790F" w:rsidP="0000790F">
      <w:pPr>
        <w:pStyle w:val="BodyText"/>
        <w:rPr>
          <w:lang w:val="en-AU"/>
        </w:rPr>
      </w:pPr>
      <w:r w:rsidRPr="00152AD2">
        <w:rPr>
          <w:lang w:val="en-AU"/>
        </w:rPr>
        <w:t xml:space="preserve">Emissions from agriculture are the next most significant source of Victoria’s emissions, making up 18% of </w:t>
      </w:r>
      <w:r w:rsidR="000E57A3">
        <w:rPr>
          <w:lang w:val="en-AU"/>
        </w:rPr>
        <w:t xml:space="preserve">net </w:t>
      </w:r>
      <w:r w:rsidRPr="00152AD2">
        <w:rPr>
          <w:lang w:val="en-AU"/>
        </w:rPr>
        <w:t xml:space="preserve">emissions. Industrial processes and product use, referring to emissions from human-made chemicals, contribute 4% of the state’s </w:t>
      </w:r>
      <w:r w:rsidR="000E57A3">
        <w:rPr>
          <w:lang w:val="en-AU"/>
        </w:rPr>
        <w:t xml:space="preserve">net </w:t>
      </w:r>
      <w:r w:rsidRPr="00152AD2">
        <w:rPr>
          <w:lang w:val="en-AU"/>
        </w:rPr>
        <w:t xml:space="preserve">emissions. Emissions from waste, particularly methane released from landfills and wastewater treatment plants, account for 4% of </w:t>
      </w:r>
      <w:r w:rsidR="000E57A3">
        <w:rPr>
          <w:lang w:val="en-AU"/>
        </w:rPr>
        <w:t xml:space="preserve">net </w:t>
      </w:r>
      <w:r w:rsidRPr="00152AD2">
        <w:rPr>
          <w:lang w:val="en-AU"/>
        </w:rPr>
        <w:t>emissions.</w:t>
      </w:r>
    </w:p>
    <w:p w14:paraId="50EF4D39" w14:textId="77CA335B" w:rsidR="0000790F" w:rsidRPr="00152AD2" w:rsidRDefault="0000790F" w:rsidP="00330FE4">
      <w:pPr>
        <w:pStyle w:val="BodyText"/>
        <w:rPr>
          <w:lang w:val="en-AU"/>
        </w:rPr>
      </w:pPr>
      <w:r w:rsidRPr="00152AD2">
        <w:rPr>
          <w:lang w:val="en-AU"/>
        </w:rPr>
        <w:lastRenderedPageBreak/>
        <w:t>The land sector reduced Victoria’s net emissions by 18% in 2023 as forests and other vegetation absorb carbon dioxide.</w:t>
      </w:r>
    </w:p>
    <w:p w14:paraId="49F5FF0D" w14:textId="77777777" w:rsidR="00330FE4" w:rsidRPr="00152AD2" w:rsidRDefault="00330FE4" w:rsidP="00330FE4">
      <w:pPr>
        <w:pStyle w:val="Heading2"/>
        <w:rPr>
          <w:lang w:val="en-AU"/>
        </w:rPr>
      </w:pPr>
      <w:bookmarkStart w:id="8" w:name="_Toc205897593"/>
      <w:r w:rsidRPr="00152AD2">
        <w:rPr>
          <w:lang w:val="en-AU"/>
        </w:rPr>
        <w:t>Energy: Electricity generation</w:t>
      </w:r>
      <w:bookmarkEnd w:id="8"/>
    </w:p>
    <w:p w14:paraId="333EA25E" w14:textId="77777777" w:rsidR="0000790F" w:rsidRPr="00152AD2" w:rsidRDefault="00330FE4" w:rsidP="00330FE4">
      <w:pPr>
        <w:pStyle w:val="BodyText"/>
        <w:rPr>
          <w:lang w:val="en-AU"/>
        </w:rPr>
      </w:pPr>
      <w:r w:rsidRPr="00152AD2">
        <w:rPr>
          <w:lang w:val="en-AU"/>
        </w:rPr>
        <w:t>Total emissions from electricity generation contributed to almost half of Victoria’s net emissions in 2023.</w:t>
      </w:r>
      <w:r w:rsidRPr="00152AD2">
        <w:rPr>
          <w:rStyle w:val="FootnoteReference"/>
          <w:lang w:val="en-AU"/>
        </w:rPr>
        <w:footnoteReference w:id="2"/>
      </w:r>
    </w:p>
    <w:p w14:paraId="4793AABE" w14:textId="77777777" w:rsidR="0000790F" w:rsidRPr="00152AD2" w:rsidRDefault="00330FE4" w:rsidP="00330FE4">
      <w:pPr>
        <w:pStyle w:val="BodyText"/>
        <w:rPr>
          <w:lang w:val="en-AU"/>
        </w:rPr>
      </w:pPr>
      <w:r w:rsidRPr="00152AD2">
        <w:rPr>
          <w:lang w:val="en-AU"/>
        </w:rPr>
        <w:t>Almost all (96%) of these emissions come from burning brown coal to create electricity, which occurs at Victoria’s three brown coal power plants: Loy Yang A, Loy Yang B, and Yallourn.</w:t>
      </w:r>
    </w:p>
    <w:p w14:paraId="1482DDCA" w14:textId="3F90E782" w:rsidR="00330FE4" w:rsidRPr="00152AD2" w:rsidRDefault="00330FE4" w:rsidP="00330FE4">
      <w:pPr>
        <w:pStyle w:val="BodyText"/>
        <w:rPr>
          <w:lang w:val="en-AU"/>
        </w:rPr>
      </w:pPr>
      <w:r w:rsidRPr="00152AD2">
        <w:rPr>
          <w:lang w:val="en-AU"/>
        </w:rPr>
        <w:t xml:space="preserve">Burning fossil gas to generate electricity accounts for around 2% of Victoria’s electricity emissions. This is produced at </w:t>
      </w:r>
      <w:r w:rsidR="007E4B00">
        <w:rPr>
          <w:lang w:val="en-AU"/>
        </w:rPr>
        <w:t>eight</w:t>
      </w:r>
      <w:r w:rsidRPr="00152AD2">
        <w:rPr>
          <w:lang w:val="en-AU"/>
        </w:rPr>
        <w:t xml:space="preserve"> major gas power plants across the state.</w:t>
      </w:r>
    </w:p>
    <w:p w14:paraId="5468E665" w14:textId="77777777" w:rsidR="00330FE4" w:rsidRPr="00152AD2" w:rsidRDefault="00330FE4" w:rsidP="00330FE4">
      <w:pPr>
        <w:pStyle w:val="Heading2"/>
        <w:rPr>
          <w:lang w:val="en-AU"/>
        </w:rPr>
      </w:pPr>
      <w:bookmarkStart w:id="9" w:name="_Toc205897594"/>
      <w:r w:rsidRPr="00152AD2">
        <w:rPr>
          <w:lang w:val="en-AU"/>
        </w:rPr>
        <w:t>Energy: Fuel combustion</w:t>
      </w:r>
      <w:bookmarkEnd w:id="9"/>
    </w:p>
    <w:p w14:paraId="575B941F" w14:textId="77777777" w:rsidR="00330FE4" w:rsidRPr="00152AD2" w:rsidRDefault="00330FE4" w:rsidP="00330FE4">
      <w:pPr>
        <w:pStyle w:val="BodyText"/>
        <w:rPr>
          <w:lang w:val="en-AU"/>
        </w:rPr>
      </w:pPr>
      <w:r w:rsidRPr="00152AD2">
        <w:rPr>
          <w:lang w:val="en-AU"/>
        </w:rPr>
        <w:t>Total emissions from fuel combustion contributed around 17% of Victoria’s net emissions in 2023.</w:t>
      </w:r>
    </w:p>
    <w:p w14:paraId="28DAB371" w14:textId="77777777" w:rsidR="0000790F" w:rsidRPr="00152AD2" w:rsidRDefault="00330FE4" w:rsidP="00330FE4">
      <w:pPr>
        <w:pStyle w:val="BodyText"/>
        <w:rPr>
          <w:lang w:val="en-AU"/>
        </w:rPr>
      </w:pPr>
      <w:r w:rsidRPr="00152AD2">
        <w:rPr>
          <w:lang w:val="en-AU"/>
        </w:rPr>
        <w:t>Almost 40% of fuel combustion emissions come from burning fossil fuels for heating, hot water and cooking in homes.</w:t>
      </w:r>
    </w:p>
    <w:p w14:paraId="75048CBA" w14:textId="77777777" w:rsidR="0000790F" w:rsidRPr="00152AD2" w:rsidRDefault="00330FE4" w:rsidP="00330FE4">
      <w:pPr>
        <w:pStyle w:val="BodyText"/>
        <w:rPr>
          <w:lang w:val="en-AU"/>
        </w:rPr>
      </w:pPr>
      <w:r w:rsidRPr="00152AD2">
        <w:rPr>
          <w:lang w:val="en-AU"/>
        </w:rPr>
        <w:t>One third of fuel combustion emissions come from industry burning fossil fuels to operate machinery or provide heat, steam or pressure to manufacture goods.</w:t>
      </w:r>
    </w:p>
    <w:p w14:paraId="4B36F526" w14:textId="6922BEF4" w:rsidR="00330FE4" w:rsidRPr="00152AD2" w:rsidRDefault="00330FE4" w:rsidP="00330FE4">
      <w:pPr>
        <w:pStyle w:val="BodyText"/>
        <w:rPr>
          <w:lang w:val="en-AU"/>
        </w:rPr>
      </w:pPr>
      <w:r w:rsidRPr="00152AD2">
        <w:rPr>
          <w:lang w:val="en-AU"/>
        </w:rPr>
        <w:lastRenderedPageBreak/>
        <w:t>The most common fuel burned is fossil gas, which accounts for around 70% of Victoria’s fuel combustion emissions. Other common fuels include diesel and LPG.</w:t>
      </w:r>
    </w:p>
    <w:p w14:paraId="36143424" w14:textId="77777777" w:rsidR="008B671B" w:rsidRPr="00152AD2" w:rsidRDefault="008B671B" w:rsidP="008B671B">
      <w:pPr>
        <w:pStyle w:val="Heading2"/>
        <w:rPr>
          <w:lang w:val="en-AU"/>
        </w:rPr>
      </w:pPr>
      <w:bookmarkStart w:id="10" w:name="_Toc205897595"/>
      <w:r w:rsidRPr="00152AD2">
        <w:rPr>
          <w:lang w:val="en-AU"/>
        </w:rPr>
        <w:t>Energy: Transport</w:t>
      </w:r>
      <w:bookmarkEnd w:id="10"/>
    </w:p>
    <w:p w14:paraId="35D29D4E" w14:textId="77777777" w:rsidR="0000790F" w:rsidRPr="00152AD2" w:rsidRDefault="008B671B" w:rsidP="008B671B">
      <w:pPr>
        <w:pStyle w:val="BodyText"/>
        <w:rPr>
          <w:lang w:val="en-AU"/>
        </w:rPr>
      </w:pPr>
      <w:r w:rsidRPr="00152AD2">
        <w:rPr>
          <w:lang w:val="en-AU"/>
        </w:rPr>
        <w:t>Transport emissions contributed to over one quarter of Victoria’s net emissions in 2023.</w:t>
      </w:r>
    </w:p>
    <w:p w14:paraId="7839341D" w14:textId="77777777" w:rsidR="0000790F" w:rsidRPr="00152AD2" w:rsidRDefault="008B671B" w:rsidP="008B671B">
      <w:pPr>
        <w:pStyle w:val="BodyText"/>
        <w:rPr>
          <w:lang w:val="en-AU"/>
        </w:rPr>
      </w:pPr>
      <w:r w:rsidRPr="00152AD2">
        <w:rPr>
          <w:lang w:val="en-AU"/>
        </w:rPr>
        <w:t>Transport emissions come from burning fossil fuels in vehicles</w:t>
      </w:r>
      <w:r w:rsidRPr="00152AD2">
        <w:rPr>
          <w:rStyle w:val="FootnoteReference"/>
          <w:lang w:val="en-AU"/>
        </w:rPr>
        <w:footnoteReference w:id="3"/>
      </w:r>
      <w:r w:rsidRPr="00152AD2">
        <w:rPr>
          <w:lang w:val="en-AU"/>
        </w:rPr>
        <w:t xml:space="preserve"> including cars, buses, vans, trucks, trains, aircraft, and watercraft. The most common fossil fuels used in Victorian transport are petrol and diesel.</w:t>
      </w:r>
    </w:p>
    <w:p w14:paraId="7664883C" w14:textId="6BE98250" w:rsidR="008B671B" w:rsidRPr="00152AD2" w:rsidRDefault="008B671B" w:rsidP="0000790F">
      <w:pPr>
        <w:pStyle w:val="BodyText"/>
        <w:ind w:right="-143"/>
        <w:rPr>
          <w:lang w:val="en-AU"/>
        </w:rPr>
      </w:pPr>
      <w:r w:rsidRPr="00152AD2">
        <w:rPr>
          <w:lang w:val="en-AU"/>
        </w:rPr>
        <w:t xml:space="preserve">In 2023, about 85% of transport emissions came from road vehicles, of which 55% come from passenger cars, 24% from trucks and buses and 21% from light commercial vehicles (LCVs) such as </w:t>
      </w:r>
      <w:proofErr w:type="spellStart"/>
      <w:r w:rsidRPr="00152AD2">
        <w:rPr>
          <w:lang w:val="en-AU"/>
        </w:rPr>
        <w:t>utes</w:t>
      </w:r>
      <w:proofErr w:type="spellEnd"/>
      <w:r w:rsidRPr="00152AD2">
        <w:rPr>
          <w:lang w:val="en-AU"/>
        </w:rPr>
        <w:t xml:space="preserve"> and vans. Air transport accounted for 11% of total transport emissions.</w:t>
      </w:r>
    </w:p>
    <w:p w14:paraId="5CEBB736" w14:textId="77777777" w:rsidR="008B671B" w:rsidRPr="00152AD2" w:rsidRDefault="008B671B" w:rsidP="0000790F">
      <w:pPr>
        <w:pStyle w:val="Heading2"/>
        <w:spacing w:after="360"/>
        <w:rPr>
          <w:lang w:val="en-AU"/>
        </w:rPr>
      </w:pPr>
      <w:bookmarkStart w:id="11" w:name="_Toc205897596"/>
      <w:r w:rsidRPr="00152AD2">
        <w:rPr>
          <w:lang w:val="en-AU"/>
        </w:rPr>
        <w:t>Industrial processes and product use (IPPU)</w:t>
      </w:r>
      <w:bookmarkEnd w:id="11"/>
    </w:p>
    <w:p w14:paraId="34642D49" w14:textId="77777777" w:rsidR="0000790F" w:rsidRPr="00152AD2" w:rsidRDefault="008B671B" w:rsidP="008B671B">
      <w:pPr>
        <w:pStyle w:val="BodyText"/>
        <w:rPr>
          <w:lang w:val="en-AU"/>
        </w:rPr>
      </w:pPr>
      <w:r w:rsidRPr="00152AD2">
        <w:rPr>
          <w:lang w:val="en-AU"/>
        </w:rPr>
        <w:t>In 2023, IPPU made up 4% of Victoria’s net emissions.</w:t>
      </w:r>
    </w:p>
    <w:p w14:paraId="1425F9BA" w14:textId="722945B5" w:rsidR="008B671B" w:rsidRPr="00152AD2" w:rsidRDefault="008B671B" w:rsidP="008B671B">
      <w:pPr>
        <w:pStyle w:val="BodyText"/>
        <w:rPr>
          <w:lang w:val="en-AU"/>
        </w:rPr>
      </w:pPr>
      <w:r w:rsidRPr="00152AD2">
        <w:rPr>
          <w:lang w:val="en-AU"/>
        </w:rPr>
        <w:t>The majority (78%) of these emissions come from leaks of synthetic greenhouses gases – specifically hydrofluorocarbons – used in refrigeration and air conditioning equipment.</w:t>
      </w:r>
    </w:p>
    <w:p w14:paraId="76AAC0AD" w14:textId="0FEA15B0" w:rsidR="008B671B" w:rsidRPr="00152AD2" w:rsidRDefault="008B671B" w:rsidP="008B671B">
      <w:pPr>
        <w:pStyle w:val="BodyText"/>
        <w:rPr>
          <w:lang w:val="en-AU"/>
        </w:rPr>
      </w:pPr>
      <w:r w:rsidRPr="00152AD2">
        <w:rPr>
          <w:lang w:val="en-AU"/>
        </w:rPr>
        <w:t>The remaining IPPU emissions are from industrial processes. For example, the production of steel, cement, aluminium and various chemicals involve chemical reactions that directly release greenhouse gases.</w:t>
      </w:r>
    </w:p>
    <w:p w14:paraId="18B26AB2" w14:textId="77777777" w:rsidR="008B671B" w:rsidRPr="00152AD2" w:rsidRDefault="008B671B" w:rsidP="008B671B">
      <w:pPr>
        <w:pStyle w:val="Heading2"/>
        <w:rPr>
          <w:lang w:val="en-AU"/>
        </w:rPr>
      </w:pPr>
      <w:bookmarkStart w:id="12" w:name="_Toc205897597"/>
      <w:r w:rsidRPr="00152AD2">
        <w:rPr>
          <w:lang w:val="en-AU"/>
        </w:rPr>
        <w:t>Energy: Fugitive emissions from fuels</w:t>
      </w:r>
      <w:bookmarkEnd w:id="12"/>
    </w:p>
    <w:p w14:paraId="24F49999" w14:textId="77777777" w:rsidR="0000790F" w:rsidRPr="00152AD2" w:rsidRDefault="008B671B" w:rsidP="008B671B">
      <w:pPr>
        <w:pStyle w:val="BodyText"/>
        <w:rPr>
          <w:lang w:val="en-AU"/>
        </w:rPr>
      </w:pPr>
      <w:r w:rsidRPr="00152AD2">
        <w:rPr>
          <w:lang w:val="en-AU"/>
        </w:rPr>
        <w:t>Fugitive emissions contributed 2% to Victoria’s net emissions in 2023.</w:t>
      </w:r>
    </w:p>
    <w:p w14:paraId="793E330B" w14:textId="022A1F04" w:rsidR="008B671B" w:rsidRPr="00152AD2" w:rsidRDefault="008B671B" w:rsidP="008B671B">
      <w:pPr>
        <w:pStyle w:val="BodyText"/>
        <w:rPr>
          <w:lang w:val="en-AU"/>
        </w:rPr>
      </w:pPr>
      <w:r w:rsidRPr="00152AD2">
        <w:rPr>
          <w:lang w:val="en-AU"/>
        </w:rPr>
        <w:lastRenderedPageBreak/>
        <w:t>These emissions occur when greenhouse gases (often methane) are released or leaked during various stages of fossil fuel production and delivery. In Victoria, almost all stem from processes involving fossil gas – its extraction, processing and distribution to end users. Coal mines also release fugitive emissions.</w:t>
      </w:r>
    </w:p>
    <w:p w14:paraId="3A2DBEE9" w14:textId="77777777" w:rsidR="008B671B" w:rsidRPr="00152AD2" w:rsidRDefault="008B671B" w:rsidP="008B671B">
      <w:pPr>
        <w:pStyle w:val="Heading2"/>
        <w:rPr>
          <w:lang w:val="en-AU"/>
        </w:rPr>
      </w:pPr>
      <w:bookmarkStart w:id="13" w:name="_Toc205897598"/>
      <w:r w:rsidRPr="00152AD2">
        <w:rPr>
          <w:lang w:val="en-AU"/>
        </w:rPr>
        <w:t>Waste</w:t>
      </w:r>
      <w:bookmarkEnd w:id="13"/>
    </w:p>
    <w:p w14:paraId="0229B7A5" w14:textId="77777777" w:rsidR="0000790F" w:rsidRPr="00152AD2" w:rsidRDefault="008B671B" w:rsidP="008B671B">
      <w:pPr>
        <w:pStyle w:val="BodyText"/>
        <w:rPr>
          <w:lang w:val="en-AU"/>
        </w:rPr>
      </w:pPr>
      <w:r w:rsidRPr="00152AD2">
        <w:rPr>
          <w:lang w:val="en-AU"/>
        </w:rPr>
        <w:t>In 2023, waste made up 4% of Victoria’s net emissions.</w:t>
      </w:r>
    </w:p>
    <w:p w14:paraId="0C24150B" w14:textId="77777777" w:rsidR="0000790F" w:rsidRPr="00152AD2" w:rsidRDefault="008B671B" w:rsidP="008B671B">
      <w:pPr>
        <w:pStyle w:val="BodyText"/>
        <w:rPr>
          <w:lang w:val="en-AU"/>
        </w:rPr>
      </w:pPr>
      <w:r w:rsidRPr="00152AD2">
        <w:rPr>
          <w:lang w:val="en-AU"/>
        </w:rPr>
        <w:t>Of this, 72% came from the release of methane due to the breakdown of solid waste in landfills.</w:t>
      </w:r>
    </w:p>
    <w:p w14:paraId="1D4DB63C" w14:textId="1576DDB5" w:rsidR="008B671B" w:rsidRPr="00152AD2" w:rsidRDefault="008B671B" w:rsidP="008B671B">
      <w:pPr>
        <w:pStyle w:val="BodyText"/>
        <w:rPr>
          <w:lang w:val="en-AU"/>
        </w:rPr>
      </w:pPr>
      <w:r w:rsidRPr="00152AD2">
        <w:rPr>
          <w:lang w:val="en-AU"/>
        </w:rPr>
        <w:t>Another 26% of waste emissions came from the treatment of wastewater, which releases methane and nitrous oxide.</w:t>
      </w:r>
    </w:p>
    <w:p w14:paraId="54A9E8FB" w14:textId="77777777" w:rsidR="008B671B" w:rsidRPr="00152AD2" w:rsidRDefault="008B671B" w:rsidP="008B671B">
      <w:pPr>
        <w:pStyle w:val="Heading2"/>
        <w:rPr>
          <w:lang w:val="en-AU"/>
        </w:rPr>
      </w:pPr>
      <w:bookmarkStart w:id="14" w:name="_Toc205897599"/>
      <w:r w:rsidRPr="00152AD2">
        <w:rPr>
          <w:lang w:val="en-AU"/>
        </w:rPr>
        <w:t>Agriculture</w:t>
      </w:r>
      <w:bookmarkEnd w:id="14"/>
    </w:p>
    <w:p w14:paraId="671608FD" w14:textId="77777777" w:rsidR="0000790F" w:rsidRPr="00152AD2" w:rsidRDefault="008B671B" w:rsidP="008B671B">
      <w:pPr>
        <w:pStyle w:val="BodyText"/>
        <w:rPr>
          <w:lang w:val="en-AU"/>
        </w:rPr>
      </w:pPr>
      <w:r w:rsidRPr="00152AD2">
        <w:rPr>
          <w:lang w:val="en-AU"/>
        </w:rPr>
        <w:t>In 2023, agriculture contributed around 18% of Victoria’s net emissions.</w:t>
      </w:r>
    </w:p>
    <w:p w14:paraId="7A438BCA" w14:textId="5F47F886" w:rsidR="008B671B" w:rsidRPr="00152AD2" w:rsidRDefault="008B671B" w:rsidP="008B671B">
      <w:pPr>
        <w:pStyle w:val="BodyText"/>
        <w:rPr>
          <w:lang w:val="en-AU"/>
        </w:rPr>
      </w:pPr>
      <w:r w:rsidRPr="00152AD2">
        <w:rPr>
          <w:lang w:val="en-AU"/>
        </w:rPr>
        <w:t xml:space="preserve">Agriculture emissions arise from livestock and crop farming processes. As cows and sheep digest food, they release methane – a type of greenhouse gas. This process is called enteric fermentation. It accounts for around 70% of agriculture emissions in </w:t>
      </w:r>
      <w:proofErr w:type="gramStart"/>
      <w:r w:rsidRPr="00152AD2">
        <w:rPr>
          <w:lang w:val="en-AU"/>
        </w:rPr>
        <w:t>Victoria, and</w:t>
      </w:r>
      <w:proofErr w:type="gramEnd"/>
      <w:r w:rsidRPr="00152AD2">
        <w:rPr>
          <w:lang w:val="en-AU"/>
        </w:rPr>
        <w:t xml:space="preserve"> mostly comes from cattle.</w:t>
      </w:r>
    </w:p>
    <w:p w14:paraId="69480A30" w14:textId="0C56C6E9" w:rsidR="008B671B" w:rsidRPr="00152AD2" w:rsidRDefault="008B671B" w:rsidP="008B671B">
      <w:pPr>
        <w:pStyle w:val="BodyText"/>
        <w:rPr>
          <w:lang w:val="en-AU"/>
        </w:rPr>
      </w:pPr>
      <w:r w:rsidRPr="00152AD2">
        <w:rPr>
          <w:lang w:val="en-AU"/>
        </w:rPr>
        <w:t>Other sources of agriculture emissions in Victoria include the use of fertiliser in crop production and soil management practices.</w:t>
      </w:r>
    </w:p>
    <w:p w14:paraId="57B188CB" w14:textId="77777777" w:rsidR="008B671B" w:rsidRPr="00152AD2" w:rsidRDefault="008B671B" w:rsidP="008B671B">
      <w:pPr>
        <w:pStyle w:val="Heading2"/>
        <w:rPr>
          <w:lang w:val="en-AU"/>
        </w:rPr>
      </w:pPr>
      <w:bookmarkStart w:id="15" w:name="_Toc205897600"/>
      <w:r w:rsidRPr="00152AD2">
        <w:rPr>
          <w:lang w:val="en-AU"/>
        </w:rPr>
        <w:t>Land Use, Land Use Change and Forestry (LULUCF)</w:t>
      </w:r>
      <w:bookmarkEnd w:id="15"/>
    </w:p>
    <w:p w14:paraId="363E82B1" w14:textId="77777777" w:rsidR="0000790F" w:rsidRPr="00152AD2" w:rsidRDefault="008B671B" w:rsidP="008B671B">
      <w:pPr>
        <w:pStyle w:val="BodyText"/>
        <w:rPr>
          <w:lang w:val="en-AU"/>
        </w:rPr>
      </w:pPr>
      <w:r w:rsidRPr="00152AD2">
        <w:rPr>
          <w:lang w:val="en-AU"/>
        </w:rPr>
        <w:t>The LULUCF sector includes vegetation and soil that can either emit or absorb carbon dioxide. When it absorbs and stores carbon dioxide this is called sequestration.</w:t>
      </w:r>
    </w:p>
    <w:p w14:paraId="49F0A4A5" w14:textId="5363C9B8" w:rsidR="008B671B" w:rsidRPr="00152AD2" w:rsidRDefault="008B671B" w:rsidP="008B671B">
      <w:pPr>
        <w:pStyle w:val="BodyText"/>
        <w:rPr>
          <w:lang w:val="en-AU"/>
        </w:rPr>
      </w:pPr>
      <w:r w:rsidRPr="00152AD2">
        <w:rPr>
          <w:lang w:val="en-AU"/>
        </w:rPr>
        <w:lastRenderedPageBreak/>
        <w:t xml:space="preserve">Because trees, vegetation and soil can sequester carbon dioxide, the LULUCF sector </w:t>
      </w:r>
      <w:proofErr w:type="gramStart"/>
      <w:r w:rsidRPr="00152AD2">
        <w:rPr>
          <w:lang w:val="en-AU"/>
        </w:rPr>
        <w:t>as a whole can</w:t>
      </w:r>
      <w:proofErr w:type="gramEnd"/>
      <w:r w:rsidRPr="00152AD2">
        <w:rPr>
          <w:lang w:val="en-AU"/>
        </w:rPr>
        <w:t xml:space="preserve"> be a net sink of emissions (meaning it </w:t>
      </w:r>
      <w:proofErr w:type="gramStart"/>
      <w:r w:rsidRPr="00152AD2">
        <w:rPr>
          <w:lang w:val="en-AU"/>
        </w:rPr>
        <w:t>absorbs</w:t>
      </w:r>
      <w:proofErr w:type="gramEnd"/>
      <w:r w:rsidRPr="00152AD2">
        <w:rPr>
          <w:lang w:val="en-AU"/>
        </w:rPr>
        <w:t xml:space="preserve"> and stores more than it emits). This is based on how land is managed. Planting more trees and encouraging plant life sequesters more carbon dioxide. This can be achieved through actions like starting a commercial </w:t>
      </w:r>
      <w:proofErr w:type="gramStart"/>
      <w:r w:rsidRPr="00152AD2">
        <w:rPr>
          <w:lang w:val="en-AU"/>
        </w:rPr>
        <w:t>plantation, or</w:t>
      </w:r>
      <w:proofErr w:type="gramEnd"/>
      <w:r w:rsidRPr="00152AD2">
        <w:rPr>
          <w:lang w:val="en-AU"/>
        </w:rPr>
        <w:t xml:space="preserve"> doing environmental planting to improve biodiversity.</w:t>
      </w:r>
    </w:p>
    <w:p w14:paraId="2FE93D36" w14:textId="77777777" w:rsidR="008B671B" w:rsidRPr="00152AD2" w:rsidRDefault="008B671B" w:rsidP="008B671B">
      <w:pPr>
        <w:pStyle w:val="BodyText"/>
        <w:rPr>
          <w:lang w:val="en-AU"/>
        </w:rPr>
      </w:pPr>
      <w:r w:rsidRPr="00152AD2">
        <w:rPr>
          <w:lang w:val="en-AU"/>
        </w:rPr>
        <w:t>In Victoria, the LULUCF sector sequesters almost one fifth of Victoria’s net emissions.</w:t>
      </w:r>
    </w:p>
    <w:p w14:paraId="5BE0CA91" w14:textId="21DE1058" w:rsidR="008B671B" w:rsidRPr="00152AD2" w:rsidRDefault="008B671B" w:rsidP="008B671B">
      <w:pPr>
        <w:pStyle w:val="BodyText"/>
        <w:rPr>
          <w:lang w:val="en-AU"/>
        </w:rPr>
      </w:pPr>
      <w:r w:rsidRPr="00152AD2">
        <w:rPr>
          <w:lang w:val="en-AU"/>
        </w:rPr>
        <w:t>Victoria’s forests contribute the most sequestration, representing around 70% of the sector. Other LULUCF sub-sectors that contribute to sequestering Victoria’s emissions include croplands and grasslands.</w:t>
      </w:r>
    </w:p>
    <w:p w14:paraId="0F127E32" w14:textId="77777777" w:rsidR="008B671B" w:rsidRPr="00152AD2" w:rsidRDefault="008B671B" w:rsidP="008B671B">
      <w:pPr>
        <w:pStyle w:val="Heading1"/>
        <w:pageBreakBefore/>
        <w:rPr>
          <w:lang w:val="en-AU"/>
        </w:rPr>
      </w:pPr>
      <w:bookmarkStart w:id="16" w:name="_Toc205897601"/>
      <w:r w:rsidRPr="00152AD2">
        <w:rPr>
          <w:lang w:val="en-AU"/>
        </w:rPr>
        <w:lastRenderedPageBreak/>
        <w:t>Trends in Victoria’s emissions</w:t>
      </w:r>
      <w:bookmarkEnd w:id="16"/>
    </w:p>
    <w:p w14:paraId="1995DE90" w14:textId="7EDF1C4B" w:rsidR="008B671B" w:rsidRPr="00152AD2" w:rsidRDefault="008B671B" w:rsidP="008B671B">
      <w:pPr>
        <w:pStyle w:val="BodyText"/>
        <w:rPr>
          <w:lang w:val="en-AU"/>
        </w:rPr>
      </w:pPr>
      <w:r w:rsidRPr="00152AD2">
        <w:rPr>
          <w:lang w:val="en-AU"/>
        </w:rPr>
        <w:t xml:space="preserve">The sectoral breakdown of Victoria’s emissions has changed over time. This reflects targeted policy action, as well as broader economic and social trends (Figure </w:t>
      </w:r>
      <w:r w:rsidR="007E4B00">
        <w:rPr>
          <w:lang w:val="en-AU"/>
        </w:rPr>
        <w:t>7</w:t>
      </w:r>
      <w:r w:rsidRPr="00152AD2">
        <w:rPr>
          <w:lang w:val="en-AU"/>
        </w:rPr>
        <w:t>).</w:t>
      </w:r>
    </w:p>
    <w:p w14:paraId="31B7796F" w14:textId="528F7E8D" w:rsidR="00B12B29" w:rsidRPr="00152AD2" w:rsidRDefault="00B12B29" w:rsidP="00B12B29">
      <w:pPr>
        <w:pStyle w:val="Caption"/>
        <w:keepNext/>
      </w:pPr>
      <w:r w:rsidRPr="00152AD2">
        <w:t xml:space="preserve">Figure </w:t>
      </w:r>
      <w:fldSimple w:instr=" SEQ Figure \* ARABIC ">
        <w:r w:rsidR="005D0C8B">
          <w:rPr>
            <w:noProof/>
          </w:rPr>
          <w:t>7</w:t>
        </w:r>
      </w:fldSimple>
      <w:r w:rsidRPr="00152AD2">
        <w:t>: Total net emissions and emissions by sector – Victoria, 1990 to 2023</w:t>
      </w:r>
    </w:p>
    <w:p w14:paraId="230FA581" w14:textId="0FBA079A" w:rsidR="00663E1F" w:rsidRPr="00152AD2" w:rsidRDefault="00B12B29" w:rsidP="008B671B">
      <w:pPr>
        <w:pStyle w:val="BodyText"/>
        <w:rPr>
          <w:lang w:val="en-AU"/>
        </w:rPr>
      </w:pPr>
      <w:r w:rsidRPr="00152AD2">
        <w:rPr>
          <w:noProof/>
          <w:lang w:val="en-AU"/>
        </w:rPr>
        <w:drawing>
          <wp:inline distT="0" distB="0" distL="0" distR="0" wp14:anchorId="6EC24F0C" wp14:editId="4BE6CD84">
            <wp:extent cx="6054029" cy="4096385"/>
            <wp:effectExtent l="0" t="0" r="4445" b="5715"/>
            <wp:docPr id="1184011557" name="Picture 7" descr="Graph showing Victoria's total net emissions from 1990 to 2023, broken down by sector. The graph shows Victoria's total net emissions were on an increasing trend from 1990 until peaking in 2010, and then generally on a declining trend through to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11557" name="Picture 7" descr="Graph showing Victoria's total net emissions from 1990 to 2023, broken down by sector. The graph shows Victoria's total net emissions were on an increasing trend from 1990 until peaking in 2010, and then generally on a declining trend through to 2023."/>
                    <pic:cNvPicPr/>
                  </pic:nvPicPr>
                  <pic:blipFill rotWithShape="1">
                    <a:blip r:embed="rId16"/>
                    <a:srcRect l="1080"/>
                    <a:stretch>
                      <a:fillRect/>
                    </a:stretch>
                  </pic:blipFill>
                  <pic:spPr bwMode="auto">
                    <a:xfrm>
                      <a:off x="0" y="0"/>
                      <a:ext cx="6054029" cy="4096385"/>
                    </a:xfrm>
                    <a:prstGeom prst="rect">
                      <a:avLst/>
                    </a:prstGeom>
                    <a:ln>
                      <a:noFill/>
                    </a:ln>
                    <a:extLst>
                      <a:ext uri="{53640926-AAD7-44D8-BBD7-CCE9431645EC}">
                        <a14:shadowObscured xmlns:a14="http://schemas.microsoft.com/office/drawing/2010/main"/>
                      </a:ext>
                    </a:extLst>
                  </pic:spPr>
                </pic:pic>
              </a:graphicData>
            </a:graphic>
          </wp:inline>
        </w:drawing>
      </w:r>
    </w:p>
    <w:p w14:paraId="6A777BCE" w14:textId="77777777" w:rsidR="00663E1F" w:rsidRPr="00152AD2" w:rsidRDefault="00663E1F" w:rsidP="00663E1F">
      <w:pPr>
        <w:pStyle w:val="Heading2"/>
        <w:rPr>
          <w:lang w:val="en-AU"/>
        </w:rPr>
      </w:pPr>
      <w:bookmarkStart w:id="17" w:name="_Toc205897602"/>
      <w:r w:rsidRPr="00152AD2">
        <w:rPr>
          <w:lang w:val="en-AU"/>
        </w:rPr>
        <w:t>Victoria’s shift to renewable energy continues to drive emissions down</w:t>
      </w:r>
      <w:bookmarkEnd w:id="17"/>
    </w:p>
    <w:p w14:paraId="0BCAE776" w14:textId="77777777" w:rsidR="0000790F" w:rsidRPr="00152AD2" w:rsidRDefault="00663E1F" w:rsidP="00663E1F">
      <w:pPr>
        <w:pStyle w:val="BodyText"/>
        <w:rPr>
          <w:lang w:val="en-AU"/>
        </w:rPr>
      </w:pPr>
      <w:r w:rsidRPr="00663E1F">
        <w:rPr>
          <w:lang w:val="en-AU"/>
        </w:rPr>
        <w:t>Electricity generation remains the largest contributor to Victoria’s emissions reduction, having fallen by 39% (24.6 Mt CO</w:t>
      </w:r>
      <w:r w:rsidRPr="00663E1F">
        <w:rPr>
          <w:vertAlign w:val="subscript"/>
          <w:lang w:val="en-AU"/>
        </w:rPr>
        <w:t>2</w:t>
      </w:r>
      <w:r w:rsidRPr="00663E1F">
        <w:rPr>
          <w:lang w:val="en-AU"/>
        </w:rPr>
        <w:t>-e) since 2005. This has been driven by the transition from coal-fired electricity to renewable sources. In 2023, renewable sources supplied 38% of Victoria’s electricity generation – doubling their share in the last five years.</w:t>
      </w:r>
      <w:r w:rsidRPr="00663E1F">
        <w:rPr>
          <w:vertAlign w:val="superscript"/>
          <w:lang w:val="en-AU"/>
        </w:rPr>
        <w:footnoteReference w:id="4"/>
      </w:r>
    </w:p>
    <w:p w14:paraId="5E83DBB4" w14:textId="17289AE4" w:rsidR="00663E1F" w:rsidRPr="00152AD2" w:rsidRDefault="00663E1F" w:rsidP="00663E1F">
      <w:pPr>
        <w:pStyle w:val="Heading2"/>
        <w:rPr>
          <w:lang w:val="en-AU"/>
        </w:rPr>
      </w:pPr>
      <w:bookmarkStart w:id="18" w:name="_Toc205897603"/>
      <w:r w:rsidRPr="00152AD2">
        <w:rPr>
          <w:lang w:val="en-AU"/>
        </w:rPr>
        <w:lastRenderedPageBreak/>
        <w:t>Businesses and households have reduced their fossil fuel use</w:t>
      </w:r>
      <w:bookmarkEnd w:id="18"/>
    </w:p>
    <w:p w14:paraId="03906681" w14:textId="77777777" w:rsidR="00663E1F" w:rsidRPr="00663E1F" w:rsidRDefault="00663E1F" w:rsidP="00663E1F">
      <w:pPr>
        <w:pStyle w:val="BodyText"/>
        <w:rPr>
          <w:lang w:val="en-AU"/>
        </w:rPr>
      </w:pPr>
      <w:r w:rsidRPr="00663E1F">
        <w:rPr>
          <w:lang w:val="en-AU"/>
        </w:rPr>
        <w:t>Emissions from fossil fuel combustion in Victoria have decreased by 22% since 2005. The biggest contributor has been the reduction in energy intensive manufacturing in Victoria as the economy has shifted towards service industries.</w:t>
      </w:r>
      <w:r w:rsidRPr="00663E1F">
        <w:rPr>
          <w:vertAlign w:val="superscript"/>
          <w:lang w:val="en-AU"/>
        </w:rPr>
        <w:footnoteReference w:id="5"/>
      </w:r>
    </w:p>
    <w:p w14:paraId="55B91BBC" w14:textId="77777777" w:rsidR="00663E1F" w:rsidRPr="00663E1F" w:rsidRDefault="00663E1F" w:rsidP="00663E1F">
      <w:pPr>
        <w:pStyle w:val="BodyText"/>
        <w:rPr>
          <w:lang w:val="en-AU"/>
        </w:rPr>
      </w:pPr>
      <w:r w:rsidRPr="00663E1F">
        <w:rPr>
          <w:lang w:val="en-AU"/>
        </w:rPr>
        <w:t>Historically, Victorian household emissions from burning fossil fuels (mainly fossil gas) grew in line with population growth. However, in 2023, Victorian households are using less fossil gas – with residential emissions returning to around 2005 levels. This reflects the growing trend toward use of electric appliances (particularly for heating and hot water), improved energy efficiency of Victorian homes, and dual fuel homes increasingly using their electric heating.</w:t>
      </w:r>
      <w:r w:rsidRPr="00663E1F">
        <w:rPr>
          <w:vertAlign w:val="superscript"/>
          <w:lang w:val="en-AU"/>
        </w:rPr>
        <w:footnoteReference w:id="6"/>
      </w:r>
    </w:p>
    <w:p w14:paraId="0CA02405" w14:textId="36C508D9" w:rsidR="00663E1F" w:rsidRPr="00152AD2" w:rsidRDefault="00663E1F" w:rsidP="00663E1F">
      <w:pPr>
        <w:pStyle w:val="BodyText"/>
        <w:rPr>
          <w:lang w:val="en-AU"/>
        </w:rPr>
      </w:pPr>
      <w:r w:rsidRPr="00663E1F">
        <w:rPr>
          <w:lang w:val="en-AU"/>
        </w:rPr>
        <w:t>The extraction and production of fossil fuels has also decreased, reducing Victoria’s fugitive emissions by 17% since 2005.</w:t>
      </w:r>
    </w:p>
    <w:p w14:paraId="10DB0F10" w14:textId="77777777" w:rsidR="00B12B29" w:rsidRPr="00152AD2" w:rsidRDefault="00B12B29" w:rsidP="00B12B29">
      <w:pPr>
        <w:pStyle w:val="Heading2"/>
        <w:rPr>
          <w:lang w:val="en-AU"/>
        </w:rPr>
      </w:pPr>
      <w:bookmarkStart w:id="19" w:name="_Toc205897604"/>
      <w:r w:rsidRPr="00152AD2">
        <w:rPr>
          <w:lang w:val="en-AU"/>
        </w:rPr>
        <w:t>Transport emissions have increased as post-pandemic recovery continued, despite growing electric vehicle sales</w:t>
      </w:r>
      <w:bookmarkEnd w:id="19"/>
    </w:p>
    <w:p w14:paraId="6F77B45C" w14:textId="77777777" w:rsidR="0000790F" w:rsidRPr="00152AD2" w:rsidRDefault="00B12B29" w:rsidP="00161F14">
      <w:pPr>
        <w:pStyle w:val="BodyText"/>
        <w:ind w:right="-143"/>
        <w:rPr>
          <w:lang w:val="en-AU"/>
        </w:rPr>
      </w:pPr>
      <w:r w:rsidRPr="00B12B29">
        <w:rPr>
          <w:lang w:val="en-AU"/>
        </w:rPr>
        <w:t>In 2023 transport emissions were 3% lower than pre-pandemic levels, despite steadily rising over the past two years. This reflects a mixed trend: a strong rebound in emissions following COVID-19 restrictions, tempered by ongoing shifts in travel habits and vehicle choices.</w:t>
      </w:r>
    </w:p>
    <w:p w14:paraId="577800BB" w14:textId="7728B369" w:rsidR="00B12B29" w:rsidRPr="00B12B29" w:rsidRDefault="00B12B29" w:rsidP="00B12B29">
      <w:pPr>
        <w:pStyle w:val="BodyText"/>
        <w:rPr>
          <w:lang w:val="en-AU"/>
        </w:rPr>
      </w:pPr>
      <w:r w:rsidRPr="00B12B29">
        <w:rPr>
          <w:lang w:val="en-AU"/>
        </w:rPr>
        <w:t>During COVID-19 restrictions in 2020 and 2021, transport emissions dropped by around 10% each year. As restrictions eased, transport emissions rebounded, increasing by an average of 9% each year in 2022 and 2023. Still, in 2023, emissions had not fully returned to pre-pandemic levels.</w:t>
      </w:r>
    </w:p>
    <w:p w14:paraId="1B7CC891" w14:textId="77777777" w:rsidR="0000790F" w:rsidRPr="00152AD2" w:rsidRDefault="00B12B29" w:rsidP="00B12B29">
      <w:pPr>
        <w:pStyle w:val="BodyText"/>
        <w:rPr>
          <w:lang w:val="en-AU"/>
        </w:rPr>
      </w:pPr>
      <w:r w:rsidRPr="00B12B29">
        <w:rPr>
          <w:lang w:val="en-AU"/>
        </w:rPr>
        <w:lastRenderedPageBreak/>
        <w:t>The continued trend of hybrid work has contributed to this by reducing car travel. Passenger cars travelled an estimated 5% fewer kilometres overall in 2023 nationwide, compared with 2019.</w:t>
      </w:r>
      <w:r w:rsidRPr="00B12B29">
        <w:rPr>
          <w:vertAlign w:val="superscript"/>
          <w:lang w:val="en-AU"/>
        </w:rPr>
        <w:footnoteReference w:id="7"/>
      </w:r>
    </w:p>
    <w:p w14:paraId="50AB9136" w14:textId="63D4D627" w:rsidR="00B12B29" w:rsidRPr="00B12B29" w:rsidRDefault="00B12B29" w:rsidP="00B12B29">
      <w:pPr>
        <w:pStyle w:val="BodyText"/>
        <w:rPr>
          <w:lang w:val="en-AU"/>
        </w:rPr>
      </w:pPr>
      <w:r w:rsidRPr="00B12B29">
        <w:rPr>
          <w:lang w:val="en-AU"/>
        </w:rPr>
        <w:t>Electric vehicle sales have also continued to grow. In 2023, battery electric vehicles made up 7.5% of passenger vehicle sales in Victoria</w:t>
      </w:r>
      <w:r w:rsidR="00E41AFE">
        <w:rPr>
          <w:rStyle w:val="FootnoteReference"/>
          <w:lang w:val="en-AU"/>
        </w:rPr>
        <w:footnoteReference w:id="8"/>
      </w:r>
      <w:r w:rsidR="007E4B00" w:rsidRPr="00B12B29">
        <w:rPr>
          <w:lang w:val="en-AU"/>
        </w:rPr>
        <w:t>,</w:t>
      </w:r>
      <w:r w:rsidRPr="00B12B29">
        <w:rPr>
          <w:lang w:val="en-AU"/>
        </w:rPr>
        <w:t xml:space="preserve"> more than double the percentage of sales compared to 2022.</w:t>
      </w:r>
      <w:r w:rsidR="00E41AFE" w:rsidRPr="00B12B29">
        <w:rPr>
          <w:vertAlign w:val="superscript"/>
          <w:lang w:val="en-AU"/>
        </w:rPr>
        <w:footnoteReference w:id="9"/>
      </w:r>
      <w:r w:rsidRPr="00B12B29">
        <w:rPr>
          <w:lang w:val="en-AU"/>
        </w:rPr>
        <w:t xml:space="preserve"> Despite this sales growth, battery electric vehicles currently make up less than 1% of all passenger vehicles in Victoria.</w:t>
      </w:r>
      <w:r w:rsidR="00C50538">
        <w:rPr>
          <w:vertAlign w:val="superscript"/>
          <w:lang w:val="en-AU"/>
        </w:rPr>
        <w:t>9</w:t>
      </w:r>
    </w:p>
    <w:p w14:paraId="7B072A4E" w14:textId="5FB6B70A" w:rsidR="00B12B29" w:rsidRPr="00152AD2" w:rsidRDefault="00B12B29" w:rsidP="00161F14">
      <w:pPr>
        <w:pStyle w:val="BodyText"/>
        <w:spacing w:after="120"/>
        <w:rPr>
          <w:lang w:val="en-AU"/>
        </w:rPr>
      </w:pPr>
      <w:r w:rsidRPr="00152AD2">
        <w:rPr>
          <w:lang w:val="en-AU"/>
        </w:rPr>
        <w:t>While reduced car travel and growing electric vehicle sales cause emissions to decrease, this was counterbalanced by the increasing popularity of larger vehicles like sport utility vehicles (SUVs), and light commercial vehicles (LCVs). SUVs represented 59% of all national vehicle sales in 2023 – double their share compared to 2013 – and are more fuel intensive and emissions intensive than smaller vehicles</w:t>
      </w:r>
      <w:r w:rsidR="00C50538">
        <w:rPr>
          <w:vertAlign w:val="superscript"/>
          <w:lang w:val="en-AU"/>
        </w:rPr>
        <w:t>9</w:t>
      </w:r>
      <w:r w:rsidRPr="00152AD2">
        <w:rPr>
          <w:lang w:val="en-AU"/>
        </w:rPr>
        <w:t>.</w:t>
      </w:r>
    </w:p>
    <w:p w14:paraId="043E11A8" w14:textId="77777777" w:rsidR="0000790F" w:rsidRPr="00152AD2" w:rsidRDefault="00B12B29" w:rsidP="00B12B29">
      <w:pPr>
        <w:pStyle w:val="Heading2"/>
        <w:rPr>
          <w:lang w:val="en-AU"/>
        </w:rPr>
      </w:pPr>
      <w:bookmarkStart w:id="20" w:name="_Toc205897605"/>
      <w:r w:rsidRPr="00152AD2">
        <w:rPr>
          <w:lang w:val="en-AU"/>
        </w:rPr>
        <w:t>Victoria’s forests are absorbing more carbon</w:t>
      </w:r>
      <w:bookmarkEnd w:id="20"/>
    </w:p>
    <w:p w14:paraId="19A249EA" w14:textId="1D27358D" w:rsidR="00B12B29" w:rsidRPr="00152AD2" w:rsidRDefault="00B12B29" w:rsidP="00B12B29">
      <w:pPr>
        <w:pStyle w:val="BodyText"/>
        <w:rPr>
          <w:lang w:val="en-AU"/>
        </w:rPr>
      </w:pPr>
      <w:r w:rsidRPr="00152AD2">
        <w:rPr>
          <w:lang w:val="en-AU"/>
        </w:rPr>
        <w:t>Historically, there have been periods when the land sector was a source of Victoria’s emissions. However, since 2012, the sector has absorbed more carbon dioxide than it emits, making it an important carbon sink. This is largely due to a reduction in land clearing and native forest harvesting, as well as growth in the plantation forest industry.</w:t>
      </w:r>
    </w:p>
    <w:p w14:paraId="6D4B6752" w14:textId="77777777" w:rsidR="0000790F" w:rsidRPr="00152AD2" w:rsidRDefault="00B12B29" w:rsidP="00B12B29">
      <w:pPr>
        <w:pStyle w:val="BodyText"/>
        <w:rPr>
          <w:lang w:val="en-AU"/>
        </w:rPr>
      </w:pPr>
      <w:r w:rsidRPr="00152AD2">
        <w:rPr>
          <w:lang w:val="en-AU"/>
        </w:rPr>
        <w:t>Land and forest emissions belong to the LULUCF sector. This sector changed from emitting 3% of Victoria’s emissions in 1990 to absorbing 18% in 2023.</w:t>
      </w:r>
    </w:p>
    <w:p w14:paraId="50B0D7A2" w14:textId="5C380CAE" w:rsidR="00B12B29" w:rsidRPr="00152AD2" w:rsidRDefault="00B12B29" w:rsidP="00B12B29">
      <w:pPr>
        <w:pStyle w:val="BodyText"/>
        <w:rPr>
          <w:lang w:val="en-AU"/>
        </w:rPr>
      </w:pPr>
      <w:r w:rsidRPr="00152AD2">
        <w:rPr>
          <w:lang w:val="en-AU"/>
        </w:rPr>
        <w:lastRenderedPageBreak/>
        <w:t>Short-term weather variation causes fluctuations in LULUCF emissions around long-term trends. Wetter than normal conditions cause microbes in forest soil to become more active and release more carbon dioxide. Lower levels of sequestration in 2022 and 2023 can be explained by wetter than usual conditions.</w:t>
      </w:r>
    </w:p>
    <w:p w14:paraId="23C58179" w14:textId="1B1A22A2" w:rsidR="00797B30" w:rsidRPr="00152AD2" w:rsidRDefault="00797B30" w:rsidP="00797B30">
      <w:pPr>
        <w:pStyle w:val="Heading1"/>
        <w:pageBreakBefore/>
        <w:rPr>
          <w:lang w:val="en-AU"/>
        </w:rPr>
      </w:pPr>
      <w:bookmarkStart w:id="21" w:name="_Toc205897606"/>
      <w:r w:rsidRPr="00152AD2">
        <w:rPr>
          <w:lang w:val="en-AU"/>
        </w:rPr>
        <w:lastRenderedPageBreak/>
        <w:t>Where Victoria’s emissions data comes from</w:t>
      </w:r>
      <w:bookmarkEnd w:id="21"/>
    </w:p>
    <w:p w14:paraId="03B19CEA" w14:textId="77777777" w:rsidR="0000790F" w:rsidRPr="00152AD2" w:rsidRDefault="00797B30" w:rsidP="00797B30">
      <w:pPr>
        <w:pStyle w:val="BodyText"/>
        <w:rPr>
          <w:lang w:val="en-AU"/>
        </w:rPr>
      </w:pPr>
      <w:r w:rsidRPr="00797B30">
        <w:rPr>
          <w:lang w:val="en-AU"/>
        </w:rPr>
        <w:t>In accordance with the Act, data used for this report comes from the State and Territory Greenhouse Gas Inventory (STGGI). The STGGI is Australia’s national inventory disaggregated by state and territory. The national inventory and the STGGI are developed by the Commonwealth Department of Climate Change, Energy, the Environment and Water (DCCEEW) as part of the National Greenhouse Gas Accounts.</w:t>
      </w:r>
    </w:p>
    <w:p w14:paraId="314BFAD2" w14:textId="33E946B9" w:rsidR="00797B30" w:rsidRPr="00797B30" w:rsidRDefault="00797B30" w:rsidP="00797B30">
      <w:pPr>
        <w:pStyle w:val="BodyText"/>
        <w:rPr>
          <w:lang w:val="en-AU"/>
        </w:rPr>
      </w:pPr>
      <w:r w:rsidRPr="00797B30">
        <w:rPr>
          <w:lang w:val="en-AU"/>
        </w:rPr>
        <w:t xml:space="preserve">You can access data from the National Greenhouse Gas Accounts, including the STGGI, by going to </w:t>
      </w:r>
      <w:hyperlink r:id="rId17" w:tooltip="Hyperlink to National Greenhouse Gas Accounts website" w:history="1">
        <w:r w:rsidR="009E258C">
          <w:rPr>
            <w:rStyle w:val="Hyperlink"/>
            <w:lang w:val="en-AU"/>
          </w:rPr>
          <w:t>http://www.greenhouseaccounts.climatechange.gov.au/</w:t>
        </w:r>
      </w:hyperlink>
      <w:r w:rsidRPr="00797B30">
        <w:rPr>
          <w:lang w:val="en-AU"/>
        </w:rPr>
        <w:t xml:space="preserve">. The National Inventory Report provides a detailed explanation of the methods used to calculate the inventory. The National Inventory Report 2023 can be found at </w:t>
      </w:r>
      <w:hyperlink r:id="rId18" w:tooltip="Hyperlink to the the Department of Climate Change, Energy, the Environment and Water website" w:history="1">
        <w:r w:rsidR="00115A99" w:rsidRPr="00797B30">
          <w:rPr>
            <w:rStyle w:val="Hyperlink"/>
            <w:lang w:val="en-AU"/>
          </w:rPr>
          <w:t>https://www.dcceew.gov.au/climate-change/publications/national-inventory-report-2023</w:t>
        </w:r>
      </w:hyperlink>
      <w:r w:rsidRPr="00797B30">
        <w:rPr>
          <w:lang w:val="en-AU"/>
        </w:rPr>
        <w:t>.</w:t>
      </w:r>
    </w:p>
    <w:p w14:paraId="7B2319E2" w14:textId="77777777" w:rsidR="0000790F" w:rsidRPr="00152AD2" w:rsidRDefault="00797B30" w:rsidP="00797B30">
      <w:pPr>
        <w:pStyle w:val="BodyText"/>
        <w:rPr>
          <w:lang w:val="en-AU"/>
        </w:rPr>
      </w:pPr>
      <w:r w:rsidRPr="00797B30">
        <w:rPr>
          <w:lang w:val="en-AU"/>
        </w:rPr>
        <w:t>DCCEEW uses the inventory to report Australia’s emissions to the United Nations, which fulfills Australia’s obligations under the United Nations Framework Convention on Climate Change (UNFCCC) and the Paris Agreement.</w:t>
      </w:r>
    </w:p>
    <w:p w14:paraId="5F3DA6EB" w14:textId="79A80A96" w:rsidR="00797B30" w:rsidRPr="00797B30" w:rsidRDefault="00797B30" w:rsidP="00797B30">
      <w:pPr>
        <w:pStyle w:val="BodyText"/>
        <w:rPr>
          <w:lang w:val="en-AU"/>
        </w:rPr>
      </w:pPr>
      <w:r w:rsidRPr="00797B30">
        <w:rPr>
          <w:lang w:val="en-AU"/>
        </w:rPr>
        <w:t>The 2023 STGGI was released by DCCEEW in May 2025. This is the most recent official data on annual state and territory greenhouse gas emissions. The release of data</w:t>
      </w:r>
      <w:r w:rsidR="009844CD">
        <w:rPr>
          <w:lang w:val="en-AU"/>
        </w:rPr>
        <w:t xml:space="preserve"> </w:t>
      </w:r>
      <w:r w:rsidR="009844CD" w:rsidRPr="009844CD">
        <w:rPr>
          <w:lang w:val="en-AU"/>
        </w:rPr>
        <w:t>two years after the year to which they pertain</w:t>
      </w:r>
      <w:r w:rsidRPr="00797B30">
        <w:rPr>
          <w:lang w:val="en-AU"/>
        </w:rPr>
        <w:t xml:space="preserve"> is standard for national greenhouse </w:t>
      </w:r>
      <w:r w:rsidR="009844CD" w:rsidRPr="00797B30">
        <w:rPr>
          <w:lang w:val="en-AU"/>
        </w:rPr>
        <w:t>accounts</w:t>
      </w:r>
      <w:r w:rsidR="009844CD" w:rsidRPr="009844CD">
        <w:rPr>
          <w:rFonts w:ascii="AdobeClean-Regular" w:hAnsi="AdobeClean-Regular" w:cs="AdobeClean-Regular"/>
          <w:color w:val="000000"/>
          <w:kern w:val="0"/>
          <w:sz w:val="28"/>
          <w:szCs w:val="28"/>
        </w:rPr>
        <w:t>,</w:t>
      </w:r>
      <w:r w:rsidR="009844CD" w:rsidRPr="009844CD">
        <w:rPr>
          <w:lang w:val="en-AU"/>
        </w:rPr>
        <w:t xml:space="preserve"> reflecting the time taken to develop and verify </w:t>
      </w:r>
      <w:r w:rsidRPr="00797B30">
        <w:rPr>
          <w:lang w:val="en-AU"/>
        </w:rPr>
        <w:t>a complex national inventory to international standards.</w:t>
      </w:r>
    </w:p>
    <w:p w14:paraId="2F41E712" w14:textId="3B2A4CEF" w:rsidR="0000790F" w:rsidRPr="00152AD2" w:rsidRDefault="00797B30" w:rsidP="00797B30">
      <w:pPr>
        <w:pStyle w:val="BodyText"/>
        <w:rPr>
          <w:lang w:val="en-AU"/>
        </w:rPr>
      </w:pPr>
      <w:r w:rsidRPr="00797B30">
        <w:rPr>
          <w:lang w:val="en-AU"/>
        </w:rPr>
        <w:t xml:space="preserve">The STGGI data is prepared following a rigorous annual process which includes planning; methodology improvements; data collection and entry; quality control and assurance measures; estimating emissions; and preparing, reviewing, and publishing reports and </w:t>
      </w:r>
      <w:r w:rsidRPr="00797B30">
        <w:rPr>
          <w:lang w:val="en-AU"/>
        </w:rPr>
        <w:lastRenderedPageBreak/>
        <w:t>emissions data. The full description of this process can be found in Section 1 (page 12–32) of the National Inventory Report 2023</w:t>
      </w:r>
      <w:r w:rsidR="00BB7B5E">
        <w:rPr>
          <w:lang w:val="en-AU"/>
        </w:rPr>
        <w:t>,</w:t>
      </w:r>
      <w:r w:rsidRPr="00797B30">
        <w:rPr>
          <w:lang w:val="en-AU"/>
        </w:rPr>
        <w:t xml:space="preserve"> Volume 1.</w:t>
      </w:r>
    </w:p>
    <w:p w14:paraId="46D7C051" w14:textId="0A58D67E" w:rsidR="00797B30" w:rsidRPr="00797B30" w:rsidRDefault="00797B30" w:rsidP="00797B30">
      <w:pPr>
        <w:pStyle w:val="BodyText"/>
        <w:rPr>
          <w:lang w:val="en-AU"/>
        </w:rPr>
      </w:pPr>
      <w:r w:rsidRPr="00797B30">
        <w:rPr>
          <w:lang w:val="en-AU"/>
        </w:rPr>
        <w:t>In addition to the STGGI, the Australian National Greenhouse Accounts (ANGA) include the National Inventory by Economic Sector, and the National Quarterly Update.</w:t>
      </w:r>
      <w:r w:rsidRPr="00797B30">
        <w:rPr>
          <w:vertAlign w:val="superscript"/>
          <w:lang w:val="en-AU"/>
        </w:rPr>
        <w:footnoteReference w:id="10"/>
      </w:r>
      <w:r w:rsidRPr="00797B30">
        <w:rPr>
          <w:lang w:val="en-AU"/>
        </w:rPr>
        <w:t xml:space="preserve"> This data can be found on the ANGA website at </w:t>
      </w:r>
      <w:hyperlink r:id="rId19" w:tooltip="Hyperlink to the Australian National Greenhouse Accounts website" w:history="1">
        <w:r w:rsidRPr="00797B30">
          <w:rPr>
            <w:rStyle w:val="Hyperlink"/>
            <w:lang w:val="en-AU"/>
          </w:rPr>
          <w:t>https://greenhouseaccounts.climatechange.gov.au/</w:t>
        </w:r>
      </w:hyperlink>
      <w:r w:rsidRPr="00797B30">
        <w:rPr>
          <w:lang w:val="en-AU"/>
        </w:rPr>
        <w:t>, along with projections of national future emissions to 2040.</w:t>
      </w:r>
    </w:p>
    <w:p w14:paraId="5DF9CF19" w14:textId="77777777" w:rsidR="00797B30" w:rsidRPr="00152AD2" w:rsidRDefault="00797B30" w:rsidP="009A72C0">
      <w:pPr>
        <w:pStyle w:val="Heading2"/>
        <w:rPr>
          <w:lang w:val="en-AU"/>
        </w:rPr>
      </w:pPr>
      <w:bookmarkStart w:id="22" w:name="_Toc205897607"/>
      <w:r w:rsidRPr="00152AD2">
        <w:rPr>
          <w:lang w:val="en-AU"/>
        </w:rPr>
        <w:t>Recalculating historical emissions</w:t>
      </w:r>
      <w:bookmarkEnd w:id="22"/>
    </w:p>
    <w:p w14:paraId="563D9F2A" w14:textId="77777777" w:rsidR="0000790F" w:rsidRPr="00152AD2" w:rsidRDefault="00797B30" w:rsidP="00797B30">
      <w:pPr>
        <w:pStyle w:val="BodyText"/>
        <w:rPr>
          <w:lang w:val="en-AU"/>
        </w:rPr>
      </w:pPr>
      <w:r w:rsidRPr="00797B30">
        <w:rPr>
          <w:lang w:val="en-AU"/>
        </w:rPr>
        <w:t>DCCEEW makes improvements to their methods for estimating emissions in response to new data, improved science, and review by international experts. New methods must then be used to estimate all emissions dating back to 1990, so previously published figures may be recalculated and replaced with new figures. This means method improvements can change Victoria’s emissions in 2005, which is the baseline year used to calculate Victoria’s interim emissions reduction targets.</w:t>
      </w:r>
    </w:p>
    <w:p w14:paraId="70BFA5CD" w14:textId="77777777" w:rsidR="0000790F" w:rsidRPr="00152AD2" w:rsidRDefault="00797B30" w:rsidP="00797B30">
      <w:pPr>
        <w:pStyle w:val="BodyText"/>
        <w:rPr>
          <w:lang w:val="en-AU"/>
        </w:rPr>
      </w:pPr>
      <w:r w:rsidRPr="00797B30">
        <w:rPr>
          <w:lang w:val="en-AU"/>
        </w:rPr>
        <w:t>This year’s recalculations have changed the state’s greenhouse gas emissions for the year 2005 from 123.2 Mt CO</w:t>
      </w:r>
      <w:r w:rsidRPr="00797B30">
        <w:rPr>
          <w:vertAlign w:val="subscript"/>
          <w:lang w:val="en-AU"/>
        </w:rPr>
        <w:t>2</w:t>
      </w:r>
      <w:r w:rsidRPr="00797B30">
        <w:rPr>
          <w:lang w:val="en-AU"/>
        </w:rPr>
        <w:t>-e to 122.7 Mt CO</w:t>
      </w:r>
      <w:r w:rsidRPr="00797B30">
        <w:rPr>
          <w:vertAlign w:val="subscript"/>
          <w:lang w:val="en-AU"/>
        </w:rPr>
        <w:t>2</w:t>
      </w:r>
      <w:r w:rsidRPr="00797B30">
        <w:rPr>
          <w:lang w:val="en-AU"/>
        </w:rPr>
        <w:t>-e, a 0.5% decrease.</w:t>
      </w:r>
    </w:p>
    <w:p w14:paraId="557856A6" w14:textId="459142E2" w:rsidR="0000790F" w:rsidRPr="00152AD2" w:rsidRDefault="00797B30" w:rsidP="009A72C0">
      <w:pPr>
        <w:pStyle w:val="Normalbeforebullets"/>
      </w:pPr>
      <w:r w:rsidRPr="00152AD2">
        <w:t>In their 2023 report, DCCEEW’s main method updates included:</w:t>
      </w:r>
    </w:p>
    <w:p w14:paraId="28666909" w14:textId="335B6D2E" w:rsidR="00797B30" w:rsidRPr="00152AD2" w:rsidRDefault="00797B30" w:rsidP="009A72C0">
      <w:pPr>
        <w:pStyle w:val="ListBullet"/>
        <w:rPr>
          <w:lang w:val="en-AU"/>
        </w:rPr>
      </w:pPr>
      <w:r w:rsidRPr="00152AD2">
        <w:rPr>
          <w:lang w:val="en-AU"/>
        </w:rPr>
        <w:t>Agriculture, with new calculations for agricultural soils and enteric fermentation; and</w:t>
      </w:r>
    </w:p>
    <w:p w14:paraId="7BD850B0" w14:textId="77777777" w:rsidR="00797B30" w:rsidRPr="00152AD2" w:rsidRDefault="00797B30" w:rsidP="009A72C0">
      <w:pPr>
        <w:pStyle w:val="LastBulletinList"/>
        <w:rPr>
          <w:lang w:val="en-AU"/>
        </w:rPr>
      </w:pPr>
      <w:r w:rsidRPr="00152AD2">
        <w:rPr>
          <w:lang w:val="en-AU"/>
        </w:rPr>
        <w:t>Fuel combustion, with new data from the National Greenhouse and Energy Reporting Scheme (NGERS).</w:t>
      </w:r>
    </w:p>
    <w:p w14:paraId="349C68A6" w14:textId="77777777" w:rsidR="00797B30" w:rsidRPr="00797B30" w:rsidRDefault="00797B30" w:rsidP="00797B30">
      <w:pPr>
        <w:pStyle w:val="BodyText"/>
        <w:rPr>
          <w:lang w:val="en-AU"/>
        </w:rPr>
      </w:pPr>
      <w:r w:rsidRPr="00797B30">
        <w:rPr>
          <w:lang w:val="en-AU"/>
        </w:rPr>
        <w:t xml:space="preserve">While there have been no method updates for LULUCF in the National Inventory Report 2023, recalculations are also applied to LULUCF emissions each time a new set of data is </w:t>
      </w:r>
      <w:r w:rsidRPr="00797B30">
        <w:rPr>
          <w:lang w:val="en-AU"/>
        </w:rPr>
        <w:lastRenderedPageBreak/>
        <w:t>published. This needs to be done regardless of method updates because the sector can experience large year on year fluctuations due to natural conditions, including weather conditions and some fires. These recalculations apply multi-year averaging to the sources of emissions that are most impacted by natural fluctuations, helping smooth them out over time.</w:t>
      </w:r>
    </w:p>
    <w:p w14:paraId="5FC07279" w14:textId="036B3A7E" w:rsidR="00115A99" w:rsidRPr="00152AD2" w:rsidRDefault="00115A99" w:rsidP="00115A99">
      <w:pPr>
        <w:pStyle w:val="Caption"/>
        <w:keepNext/>
        <w:spacing w:after="360"/>
      </w:pPr>
      <w:r w:rsidRPr="00152AD2">
        <w:t xml:space="preserve">Figure </w:t>
      </w:r>
      <w:fldSimple w:instr=" SEQ Figure \* ARABIC ">
        <w:r w:rsidR="005D0C8B">
          <w:rPr>
            <w:noProof/>
          </w:rPr>
          <w:t>8</w:t>
        </w:r>
      </w:fldSimple>
      <w:r w:rsidRPr="00152AD2">
        <w:t xml:space="preserve">: </w:t>
      </w:r>
      <w:r w:rsidR="00BB7B5E" w:rsidRPr="00BB7B5E">
        <w:t>Comparing historical emissions data published in the Victorian Greenhouse Gas Report 2022 with updated historical emissions data published in this report for 2023</w:t>
      </w:r>
    </w:p>
    <w:p w14:paraId="0DE8BB6B" w14:textId="7C16BD2C" w:rsidR="00115A99" w:rsidRPr="00152AD2" w:rsidRDefault="00115A99" w:rsidP="00B12B29">
      <w:pPr>
        <w:pStyle w:val="BodyText"/>
        <w:rPr>
          <w:lang w:val="en-AU"/>
        </w:rPr>
      </w:pPr>
      <w:r w:rsidRPr="00152AD2">
        <w:rPr>
          <w:noProof/>
          <w:lang w:val="en-AU"/>
        </w:rPr>
        <w:drawing>
          <wp:inline distT="0" distB="0" distL="0" distR="0" wp14:anchorId="0F643A72" wp14:editId="68E40E8A">
            <wp:extent cx="6120130" cy="2186940"/>
            <wp:effectExtent l="0" t="0" r="1270" b="0"/>
            <wp:docPr id="686412246" name="Picture 8" descr="Graph showing changes in net emissions reported between the 2022 and 2023 Victorian Greenhouse Gas Emissions Report. Reported emissions have changed in all years since 1990. While almost all years until 2018 have changed by an order of magnitude of less than 1 Mt CO2-e, changes of up to 2 Mt CO2-e have occurred each year sinc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12246" name="Picture 8" descr="Graph showing changes in net emissions reported between the 2022 and 2023 Victorian Greenhouse Gas Emissions Report. Reported emissions have changed in all years since 1990. While almost all years until 2018 have changed by an order of magnitude of less than 1 Mt CO2-e, changes of up to 2 Mt CO2-e have occurred each year since 2019."/>
                    <pic:cNvPicPr/>
                  </pic:nvPicPr>
                  <pic:blipFill>
                    <a:blip r:embed="rId20"/>
                    <a:stretch>
                      <a:fillRect/>
                    </a:stretch>
                  </pic:blipFill>
                  <pic:spPr>
                    <a:xfrm>
                      <a:off x="0" y="0"/>
                      <a:ext cx="6120130" cy="2186940"/>
                    </a:xfrm>
                    <a:prstGeom prst="rect">
                      <a:avLst/>
                    </a:prstGeom>
                  </pic:spPr>
                </pic:pic>
              </a:graphicData>
            </a:graphic>
          </wp:inline>
        </w:drawing>
      </w:r>
    </w:p>
    <w:p w14:paraId="705297EB" w14:textId="6BF7FD4F" w:rsidR="009A72C0" w:rsidRPr="00152AD2" w:rsidRDefault="009A72C0" w:rsidP="009A72C0">
      <w:pPr>
        <w:pStyle w:val="Heading1"/>
        <w:pageBreakBefore/>
        <w:rPr>
          <w:lang w:val="en-AU"/>
        </w:rPr>
      </w:pPr>
      <w:bookmarkStart w:id="23" w:name="_Toc205897608"/>
      <w:r w:rsidRPr="00152AD2">
        <w:rPr>
          <w:lang w:val="en-AU"/>
        </w:rPr>
        <w:lastRenderedPageBreak/>
        <w:t>Abbreviations and acronyms</w:t>
      </w:r>
      <w:bookmarkEnd w:id="23"/>
    </w:p>
    <w:p w14:paraId="714E22D2" w14:textId="1EC308D9" w:rsidR="00115A99" w:rsidRPr="00152AD2" w:rsidRDefault="00115A99" w:rsidP="00115A99">
      <w:pPr>
        <w:pStyle w:val="Caption"/>
        <w:keepNext/>
      </w:pPr>
      <w:r w:rsidRPr="00152AD2">
        <w:t xml:space="preserve">Table </w:t>
      </w:r>
      <w:fldSimple w:instr=" SEQ Table \* ARABIC ">
        <w:r w:rsidRPr="00152AD2">
          <w:t>1</w:t>
        </w:r>
      </w:fldSimple>
      <w:r w:rsidRPr="00152AD2">
        <w:t>: Abbreviations and acronyms and their definitions</w:t>
      </w:r>
    </w:p>
    <w:tbl>
      <w:tblPr>
        <w:tblStyle w:val="Style2"/>
        <w:tblW w:w="9901" w:type="dxa"/>
        <w:tblLayout w:type="fixed"/>
        <w:tblLook w:val="0020" w:firstRow="1" w:lastRow="0" w:firstColumn="0" w:lastColumn="0" w:noHBand="0" w:noVBand="0"/>
        <w:tblCaption w:val="Table 1: Abbreviations and acronyms and their definitions"/>
        <w:tblDescription w:val="Table 1: Abbreviations and acronyms and their definitions"/>
      </w:tblPr>
      <w:tblGrid>
        <w:gridCol w:w="1975"/>
        <w:gridCol w:w="7926"/>
      </w:tblGrid>
      <w:tr w:rsidR="009A72C0" w:rsidRPr="00152AD2" w14:paraId="79B36F60" w14:textId="77777777" w:rsidTr="00115A99">
        <w:trPr>
          <w:cnfStyle w:val="100000000000" w:firstRow="1" w:lastRow="0" w:firstColumn="0" w:lastColumn="0" w:oddVBand="0" w:evenVBand="0" w:oddHBand="0" w:evenHBand="0" w:firstRowFirstColumn="0" w:firstRowLastColumn="0" w:lastRowFirstColumn="0" w:lastRowLastColumn="0"/>
          <w:cantSplit/>
          <w:trHeight w:val="60"/>
          <w:tblHeader/>
        </w:trPr>
        <w:tc>
          <w:tcPr>
            <w:tcW w:w="1975" w:type="dxa"/>
          </w:tcPr>
          <w:p w14:paraId="5E7B68E9" w14:textId="77777777" w:rsidR="009A72C0" w:rsidRPr="00152AD2" w:rsidRDefault="009A72C0" w:rsidP="00115A99">
            <w:pPr>
              <w:pStyle w:val="Tabletext"/>
              <w:spacing w:after="0" w:line="360" w:lineRule="auto"/>
              <w:rPr>
                <w:lang w:val="en-AU"/>
              </w:rPr>
            </w:pPr>
            <w:r w:rsidRPr="00152AD2">
              <w:rPr>
                <w:lang w:val="en-AU"/>
              </w:rPr>
              <w:t>Abbreviation</w:t>
            </w:r>
          </w:p>
        </w:tc>
        <w:tc>
          <w:tcPr>
            <w:tcW w:w="7926" w:type="dxa"/>
          </w:tcPr>
          <w:p w14:paraId="3F74AA3B" w14:textId="77777777" w:rsidR="009A72C0" w:rsidRPr="00152AD2" w:rsidRDefault="009A72C0" w:rsidP="00115A99">
            <w:pPr>
              <w:pStyle w:val="Tabletext"/>
              <w:spacing w:after="0" w:line="360" w:lineRule="auto"/>
              <w:rPr>
                <w:lang w:val="en-AU"/>
              </w:rPr>
            </w:pPr>
            <w:r w:rsidRPr="00152AD2">
              <w:rPr>
                <w:lang w:val="en-AU"/>
              </w:rPr>
              <w:t>Definition</w:t>
            </w:r>
          </w:p>
        </w:tc>
      </w:tr>
      <w:tr w:rsidR="009A72C0" w:rsidRPr="00152AD2" w14:paraId="07EEE181" w14:textId="77777777" w:rsidTr="009A72C0">
        <w:trPr>
          <w:trHeight w:val="60"/>
        </w:trPr>
        <w:tc>
          <w:tcPr>
            <w:tcW w:w="1975" w:type="dxa"/>
          </w:tcPr>
          <w:p w14:paraId="73C49CD3" w14:textId="77777777" w:rsidR="009A72C0" w:rsidRPr="00152AD2" w:rsidRDefault="009A72C0" w:rsidP="00115A99">
            <w:pPr>
              <w:pStyle w:val="Tabletext"/>
              <w:spacing w:after="0" w:line="360" w:lineRule="auto"/>
              <w:rPr>
                <w:b/>
                <w:bCs/>
                <w:lang w:val="en-AU"/>
              </w:rPr>
            </w:pPr>
            <w:r w:rsidRPr="00152AD2">
              <w:rPr>
                <w:b/>
                <w:bCs/>
                <w:lang w:val="en-AU"/>
              </w:rPr>
              <w:t>The Act</w:t>
            </w:r>
          </w:p>
        </w:tc>
        <w:tc>
          <w:tcPr>
            <w:tcW w:w="7926" w:type="dxa"/>
          </w:tcPr>
          <w:p w14:paraId="58C13A85" w14:textId="77777777" w:rsidR="009A72C0" w:rsidRPr="00152AD2" w:rsidRDefault="009A72C0" w:rsidP="00115A99">
            <w:pPr>
              <w:pStyle w:val="Tabletext"/>
              <w:spacing w:after="0" w:line="360" w:lineRule="auto"/>
              <w:rPr>
                <w:lang w:val="en-AU"/>
              </w:rPr>
            </w:pPr>
            <w:r w:rsidRPr="00152AD2">
              <w:rPr>
                <w:lang w:val="en-AU"/>
              </w:rPr>
              <w:t>Climate Action Act 2017</w:t>
            </w:r>
          </w:p>
        </w:tc>
      </w:tr>
      <w:tr w:rsidR="009A72C0" w:rsidRPr="00152AD2" w14:paraId="0A757255" w14:textId="77777777" w:rsidTr="009A72C0">
        <w:trPr>
          <w:trHeight w:val="60"/>
        </w:trPr>
        <w:tc>
          <w:tcPr>
            <w:tcW w:w="1975" w:type="dxa"/>
          </w:tcPr>
          <w:p w14:paraId="724DB587" w14:textId="77777777" w:rsidR="009A72C0" w:rsidRPr="00152AD2" w:rsidRDefault="009A72C0" w:rsidP="00115A99">
            <w:pPr>
              <w:pStyle w:val="Tabletext"/>
              <w:spacing w:after="0" w:line="360" w:lineRule="auto"/>
              <w:rPr>
                <w:b/>
                <w:bCs/>
                <w:lang w:val="en-AU"/>
              </w:rPr>
            </w:pPr>
            <w:r w:rsidRPr="00152AD2">
              <w:rPr>
                <w:b/>
                <w:bCs/>
                <w:lang w:val="en-AU"/>
              </w:rPr>
              <w:t>CO</w:t>
            </w:r>
            <w:r w:rsidRPr="00152AD2">
              <w:rPr>
                <w:b/>
                <w:bCs/>
                <w:vertAlign w:val="subscript"/>
                <w:lang w:val="en-AU"/>
              </w:rPr>
              <w:t>2</w:t>
            </w:r>
            <w:r w:rsidRPr="00152AD2">
              <w:rPr>
                <w:b/>
                <w:bCs/>
                <w:lang w:val="en-AU"/>
              </w:rPr>
              <w:t>-e</w:t>
            </w:r>
            <w:r w:rsidRPr="00152AD2">
              <w:rPr>
                <w:b/>
                <w:bCs/>
                <w:lang w:val="en-AU"/>
              </w:rPr>
              <w:tab/>
            </w:r>
          </w:p>
        </w:tc>
        <w:tc>
          <w:tcPr>
            <w:tcW w:w="7926" w:type="dxa"/>
          </w:tcPr>
          <w:p w14:paraId="2A39E791" w14:textId="77777777" w:rsidR="009A72C0" w:rsidRPr="00152AD2" w:rsidRDefault="009A72C0" w:rsidP="00115A99">
            <w:pPr>
              <w:pStyle w:val="Tabletext"/>
              <w:spacing w:after="0" w:line="360" w:lineRule="auto"/>
              <w:rPr>
                <w:lang w:val="en-AU"/>
              </w:rPr>
            </w:pPr>
            <w:r w:rsidRPr="00152AD2">
              <w:rPr>
                <w:lang w:val="en-AU"/>
              </w:rPr>
              <w:t>Carbon dioxide equivalent</w:t>
            </w:r>
          </w:p>
        </w:tc>
      </w:tr>
      <w:tr w:rsidR="009A72C0" w:rsidRPr="00152AD2" w14:paraId="5B6CB57D" w14:textId="77777777" w:rsidTr="009A72C0">
        <w:trPr>
          <w:trHeight w:val="60"/>
        </w:trPr>
        <w:tc>
          <w:tcPr>
            <w:tcW w:w="1975" w:type="dxa"/>
          </w:tcPr>
          <w:p w14:paraId="56AFD363" w14:textId="77777777" w:rsidR="009A72C0" w:rsidRPr="00152AD2" w:rsidRDefault="009A72C0" w:rsidP="00115A99">
            <w:pPr>
              <w:pStyle w:val="Tabletext"/>
              <w:spacing w:after="0" w:line="360" w:lineRule="auto"/>
              <w:rPr>
                <w:b/>
                <w:bCs/>
                <w:lang w:val="en-AU"/>
              </w:rPr>
            </w:pPr>
            <w:r w:rsidRPr="00152AD2">
              <w:rPr>
                <w:b/>
                <w:bCs/>
                <w:lang w:val="en-AU"/>
              </w:rPr>
              <w:t>DCCEEW</w:t>
            </w:r>
          </w:p>
        </w:tc>
        <w:tc>
          <w:tcPr>
            <w:tcW w:w="7926" w:type="dxa"/>
          </w:tcPr>
          <w:p w14:paraId="324D52C2" w14:textId="77777777" w:rsidR="009A72C0" w:rsidRPr="00152AD2" w:rsidRDefault="009A72C0" w:rsidP="00115A99">
            <w:pPr>
              <w:pStyle w:val="Tabletext"/>
              <w:spacing w:after="0" w:line="360" w:lineRule="auto"/>
              <w:rPr>
                <w:lang w:val="en-AU"/>
              </w:rPr>
            </w:pPr>
            <w:r w:rsidRPr="00152AD2">
              <w:rPr>
                <w:lang w:val="en-AU"/>
              </w:rPr>
              <w:t>Commonwealth Department of Climate Change, Energy, the Environment and Water</w:t>
            </w:r>
          </w:p>
        </w:tc>
      </w:tr>
      <w:tr w:rsidR="009A72C0" w:rsidRPr="00152AD2" w14:paraId="7A37A0F3" w14:textId="77777777" w:rsidTr="009A72C0">
        <w:trPr>
          <w:trHeight w:val="293"/>
        </w:trPr>
        <w:tc>
          <w:tcPr>
            <w:tcW w:w="1975" w:type="dxa"/>
          </w:tcPr>
          <w:p w14:paraId="747B7484" w14:textId="77777777" w:rsidR="009A72C0" w:rsidRPr="00152AD2" w:rsidRDefault="009A72C0" w:rsidP="00115A99">
            <w:pPr>
              <w:pStyle w:val="Tabletext"/>
              <w:spacing w:after="0" w:line="360" w:lineRule="auto"/>
              <w:rPr>
                <w:b/>
                <w:bCs/>
                <w:lang w:val="en-AU"/>
              </w:rPr>
            </w:pPr>
            <w:r w:rsidRPr="00152AD2">
              <w:rPr>
                <w:b/>
                <w:bCs/>
                <w:lang w:val="en-AU"/>
              </w:rPr>
              <w:t>DEECA</w:t>
            </w:r>
          </w:p>
        </w:tc>
        <w:tc>
          <w:tcPr>
            <w:tcW w:w="7926" w:type="dxa"/>
          </w:tcPr>
          <w:p w14:paraId="3F31F2AD" w14:textId="77777777" w:rsidR="009A72C0" w:rsidRPr="00152AD2" w:rsidRDefault="009A72C0" w:rsidP="00115A99">
            <w:pPr>
              <w:pStyle w:val="Tabletext"/>
              <w:spacing w:after="0" w:line="360" w:lineRule="auto"/>
              <w:rPr>
                <w:lang w:val="en-AU"/>
              </w:rPr>
            </w:pPr>
            <w:r w:rsidRPr="00152AD2">
              <w:rPr>
                <w:lang w:val="en-AU"/>
              </w:rPr>
              <w:t>Department of Energy, Environment and Climate Action</w:t>
            </w:r>
          </w:p>
        </w:tc>
      </w:tr>
      <w:tr w:rsidR="009A72C0" w:rsidRPr="00152AD2" w14:paraId="67C36474" w14:textId="77777777" w:rsidTr="009A72C0">
        <w:trPr>
          <w:trHeight w:val="60"/>
        </w:trPr>
        <w:tc>
          <w:tcPr>
            <w:tcW w:w="1975" w:type="dxa"/>
          </w:tcPr>
          <w:p w14:paraId="43267CC5" w14:textId="77777777" w:rsidR="009A72C0" w:rsidRPr="00152AD2" w:rsidRDefault="009A72C0" w:rsidP="00115A99">
            <w:pPr>
              <w:pStyle w:val="Tabletext"/>
              <w:spacing w:after="0" w:line="360" w:lineRule="auto"/>
              <w:rPr>
                <w:b/>
                <w:bCs/>
                <w:lang w:val="en-AU"/>
              </w:rPr>
            </w:pPr>
            <w:r w:rsidRPr="00152AD2">
              <w:rPr>
                <w:b/>
                <w:bCs/>
                <w:lang w:val="en-AU"/>
              </w:rPr>
              <w:t>EV</w:t>
            </w:r>
          </w:p>
        </w:tc>
        <w:tc>
          <w:tcPr>
            <w:tcW w:w="7926" w:type="dxa"/>
          </w:tcPr>
          <w:p w14:paraId="368D5A06" w14:textId="77777777" w:rsidR="009A72C0" w:rsidRPr="00152AD2" w:rsidRDefault="009A72C0" w:rsidP="00115A99">
            <w:pPr>
              <w:pStyle w:val="Tabletext"/>
              <w:spacing w:after="0" w:line="360" w:lineRule="auto"/>
              <w:rPr>
                <w:lang w:val="en-AU"/>
              </w:rPr>
            </w:pPr>
            <w:r w:rsidRPr="00152AD2">
              <w:rPr>
                <w:lang w:val="en-AU"/>
              </w:rPr>
              <w:t>Electric vehicle</w:t>
            </w:r>
          </w:p>
        </w:tc>
      </w:tr>
      <w:tr w:rsidR="009A72C0" w:rsidRPr="00152AD2" w14:paraId="6F3CA8FF" w14:textId="77777777" w:rsidTr="009A72C0">
        <w:trPr>
          <w:trHeight w:val="60"/>
        </w:trPr>
        <w:tc>
          <w:tcPr>
            <w:tcW w:w="1975" w:type="dxa"/>
          </w:tcPr>
          <w:p w14:paraId="4DF1B2E5" w14:textId="77777777" w:rsidR="009A72C0" w:rsidRPr="00152AD2" w:rsidRDefault="009A72C0" w:rsidP="00115A99">
            <w:pPr>
              <w:pStyle w:val="Tabletext"/>
              <w:spacing w:after="0" w:line="360" w:lineRule="auto"/>
              <w:rPr>
                <w:b/>
                <w:bCs/>
                <w:lang w:val="en-AU"/>
              </w:rPr>
            </w:pPr>
            <w:r w:rsidRPr="00152AD2">
              <w:rPr>
                <w:b/>
                <w:bCs/>
                <w:lang w:val="en-AU"/>
              </w:rPr>
              <w:t>GSP</w:t>
            </w:r>
          </w:p>
        </w:tc>
        <w:tc>
          <w:tcPr>
            <w:tcW w:w="7926" w:type="dxa"/>
          </w:tcPr>
          <w:p w14:paraId="4C68E597" w14:textId="77777777" w:rsidR="009A72C0" w:rsidRPr="00152AD2" w:rsidRDefault="009A72C0" w:rsidP="00115A99">
            <w:pPr>
              <w:pStyle w:val="Tabletext"/>
              <w:spacing w:after="0" w:line="360" w:lineRule="auto"/>
              <w:rPr>
                <w:lang w:val="en-AU"/>
              </w:rPr>
            </w:pPr>
            <w:r w:rsidRPr="00152AD2">
              <w:rPr>
                <w:lang w:val="en-AU"/>
              </w:rPr>
              <w:t>Gross State Product</w:t>
            </w:r>
          </w:p>
        </w:tc>
      </w:tr>
      <w:tr w:rsidR="009A72C0" w:rsidRPr="00152AD2" w14:paraId="4D7A5EC7" w14:textId="77777777" w:rsidTr="009A72C0">
        <w:trPr>
          <w:trHeight w:val="60"/>
        </w:trPr>
        <w:tc>
          <w:tcPr>
            <w:tcW w:w="1975" w:type="dxa"/>
          </w:tcPr>
          <w:p w14:paraId="052C21FF" w14:textId="77777777" w:rsidR="009A72C0" w:rsidRPr="00152AD2" w:rsidRDefault="009A72C0" w:rsidP="00115A99">
            <w:pPr>
              <w:pStyle w:val="Tabletext"/>
              <w:spacing w:after="0" w:line="360" w:lineRule="auto"/>
              <w:rPr>
                <w:b/>
                <w:bCs/>
                <w:lang w:val="en-AU"/>
              </w:rPr>
            </w:pPr>
            <w:r w:rsidRPr="00152AD2">
              <w:rPr>
                <w:b/>
                <w:bCs/>
                <w:lang w:val="en-AU"/>
              </w:rPr>
              <w:t>GW</w:t>
            </w:r>
          </w:p>
        </w:tc>
        <w:tc>
          <w:tcPr>
            <w:tcW w:w="7926" w:type="dxa"/>
          </w:tcPr>
          <w:p w14:paraId="0920E192" w14:textId="77777777" w:rsidR="009A72C0" w:rsidRPr="00152AD2" w:rsidRDefault="009A72C0" w:rsidP="00115A99">
            <w:pPr>
              <w:pStyle w:val="Tabletext"/>
              <w:spacing w:after="0" w:line="360" w:lineRule="auto"/>
              <w:rPr>
                <w:lang w:val="en-AU"/>
              </w:rPr>
            </w:pPr>
            <w:r w:rsidRPr="00152AD2">
              <w:rPr>
                <w:lang w:val="en-AU"/>
              </w:rPr>
              <w:t>Gigawatts</w:t>
            </w:r>
          </w:p>
        </w:tc>
      </w:tr>
      <w:tr w:rsidR="009A72C0" w:rsidRPr="00152AD2" w14:paraId="10CF6712" w14:textId="77777777" w:rsidTr="009A72C0">
        <w:trPr>
          <w:trHeight w:val="60"/>
        </w:trPr>
        <w:tc>
          <w:tcPr>
            <w:tcW w:w="1975" w:type="dxa"/>
          </w:tcPr>
          <w:p w14:paraId="6A92CFBB" w14:textId="77777777" w:rsidR="009A72C0" w:rsidRPr="00152AD2" w:rsidRDefault="009A72C0" w:rsidP="00115A99">
            <w:pPr>
              <w:pStyle w:val="Tabletext"/>
              <w:spacing w:after="0" w:line="360" w:lineRule="auto"/>
              <w:rPr>
                <w:b/>
                <w:bCs/>
                <w:lang w:val="en-AU"/>
              </w:rPr>
            </w:pPr>
            <w:r w:rsidRPr="00152AD2">
              <w:rPr>
                <w:b/>
                <w:bCs/>
                <w:lang w:val="en-AU"/>
              </w:rPr>
              <w:t>HFC</w:t>
            </w:r>
          </w:p>
        </w:tc>
        <w:tc>
          <w:tcPr>
            <w:tcW w:w="7926" w:type="dxa"/>
          </w:tcPr>
          <w:p w14:paraId="1D38382A" w14:textId="77777777" w:rsidR="009A72C0" w:rsidRPr="00152AD2" w:rsidRDefault="009A72C0" w:rsidP="00115A99">
            <w:pPr>
              <w:pStyle w:val="Tabletext"/>
              <w:spacing w:after="0" w:line="360" w:lineRule="auto"/>
              <w:rPr>
                <w:lang w:val="en-AU"/>
              </w:rPr>
            </w:pPr>
            <w:r w:rsidRPr="00152AD2">
              <w:rPr>
                <w:lang w:val="en-AU"/>
              </w:rPr>
              <w:t>Hydrofluorocarbons</w:t>
            </w:r>
          </w:p>
        </w:tc>
      </w:tr>
      <w:tr w:rsidR="009A72C0" w:rsidRPr="00152AD2" w14:paraId="41ED198D" w14:textId="77777777" w:rsidTr="009A72C0">
        <w:trPr>
          <w:trHeight w:val="60"/>
        </w:trPr>
        <w:tc>
          <w:tcPr>
            <w:tcW w:w="1975" w:type="dxa"/>
          </w:tcPr>
          <w:p w14:paraId="7FB1DFC6" w14:textId="77777777" w:rsidR="009A72C0" w:rsidRPr="00152AD2" w:rsidRDefault="009A72C0" w:rsidP="00115A99">
            <w:pPr>
              <w:pStyle w:val="Tabletext"/>
              <w:spacing w:after="0" w:line="360" w:lineRule="auto"/>
              <w:rPr>
                <w:b/>
                <w:bCs/>
                <w:lang w:val="en-AU"/>
              </w:rPr>
            </w:pPr>
            <w:r w:rsidRPr="00152AD2">
              <w:rPr>
                <w:b/>
                <w:bCs/>
                <w:lang w:val="en-AU"/>
              </w:rPr>
              <w:t>IPCC</w:t>
            </w:r>
          </w:p>
        </w:tc>
        <w:tc>
          <w:tcPr>
            <w:tcW w:w="7926" w:type="dxa"/>
          </w:tcPr>
          <w:p w14:paraId="65E29EA5" w14:textId="77777777" w:rsidR="009A72C0" w:rsidRPr="00152AD2" w:rsidRDefault="009A72C0" w:rsidP="00115A99">
            <w:pPr>
              <w:pStyle w:val="Tabletext"/>
              <w:spacing w:after="0" w:line="360" w:lineRule="auto"/>
              <w:rPr>
                <w:lang w:val="en-AU"/>
              </w:rPr>
            </w:pPr>
            <w:r w:rsidRPr="00152AD2">
              <w:rPr>
                <w:lang w:val="en-AU"/>
              </w:rPr>
              <w:t>Intergovernmental Panel on Climate Change</w:t>
            </w:r>
          </w:p>
        </w:tc>
      </w:tr>
      <w:tr w:rsidR="009A72C0" w:rsidRPr="00152AD2" w14:paraId="792F327A" w14:textId="77777777" w:rsidTr="009A72C0">
        <w:trPr>
          <w:trHeight w:val="60"/>
        </w:trPr>
        <w:tc>
          <w:tcPr>
            <w:tcW w:w="1975" w:type="dxa"/>
          </w:tcPr>
          <w:p w14:paraId="3FFA087F" w14:textId="77777777" w:rsidR="009A72C0" w:rsidRPr="00152AD2" w:rsidRDefault="009A72C0" w:rsidP="00115A99">
            <w:pPr>
              <w:pStyle w:val="Tabletext"/>
              <w:spacing w:after="0" w:line="360" w:lineRule="auto"/>
              <w:rPr>
                <w:b/>
                <w:bCs/>
                <w:lang w:val="en-AU"/>
              </w:rPr>
            </w:pPr>
            <w:r w:rsidRPr="00152AD2">
              <w:rPr>
                <w:b/>
                <w:bCs/>
                <w:lang w:val="en-AU"/>
              </w:rPr>
              <w:t>IPPU</w:t>
            </w:r>
          </w:p>
        </w:tc>
        <w:tc>
          <w:tcPr>
            <w:tcW w:w="7926" w:type="dxa"/>
          </w:tcPr>
          <w:p w14:paraId="7624B48B" w14:textId="77777777" w:rsidR="009A72C0" w:rsidRPr="00152AD2" w:rsidRDefault="009A72C0" w:rsidP="00115A99">
            <w:pPr>
              <w:pStyle w:val="Tabletext"/>
              <w:spacing w:after="0" w:line="360" w:lineRule="auto"/>
              <w:rPr>
                <w:lang w:val="en-AU"/>
              </w:rPr>
            </w:pPr>
            <w:r w:rsidRPr="00152AD2">
              <w:rPr>
                <w:lang w:val="en-AU"/>
              </w:rPr>
              <w:t>Industrial processes and product use</w:t>
            </w:r>
          </w:p>
        </w:tc>
      </w:tr>
      <w:tr w:rsidR="009A72C0" w:rsidRPr="00152AD2" w14:paraId="26330E24" w14:textId="77777777" w:rsidTr="009A72C0">
        <w:trPr>
          <w:trHeight w:val="60"/>
        </w:trPr>
        <w:tc>
          <w:tcPr>
            <w:tcW w:w="1975" w:type="dxa"/>
          </w:tcPr>
          <w:p w14:paraId="22B0676F" w14:textId="77777777" w:rsidR="009A72C0" w:rsidRPr="00152AD2" w:rsidRDefault="009A72C0" w:rsidP="00115A99">
            <w:pPr>
              <w:pStyle w:val="Tabletext"/>
              <w:spacing w:after="0" w:line="360" w:lineRule="auto"/>
              <w:rPr>
                <w:b/>
                <w:bCs/>
                <w:lang w:val="en-AU"/>
              </w:rPr>
            </w:pPr>
            <w:r w:rsidRPr="00152AD2">
              <w:rPr>
                <w:b/>
                <w:bCs/>
                <w:lang w:val="en-AU"/>
              </w:rPr>
              <w:t>LCV</w:t>
            </w:r>
          </w:p>
        </w:tc>
        <w:tc>
          <w:tcPr>
            <w:tcW w:w="7926" w:type="dxa"/>
          </w:tcPr>
          <w:p w14:paraId="647CE391" w14:textId="77777777" w:rsidR="009A72C0" w:rsidRPr="00152AD2" w:rsidRDefault="009A72C0" w:rsidP="00115A99">
            <w:pPr>
              <w:pStyle w:val="Tabletext"/>
              <w:spacing w:after="0" w:line="360" w:lineRule="auto"/>
              <w:rPr>
                <w:lang w:val="en-AU"/>
              </w:rPr>
            </w:pPr>
            <w:r w:rsidRPr="00152AD2">
              <w:rPr>
                <w:lang w:val="en-AU"/>
              </w:rPr>
              <w:t>Light Commercial Vehicle</w:t>
            </w:r>
          </w:p>
        </w:tc>
      </w:tr>
      <w:tr w:rsidR="009A72C0" w:rsidRPr="00152AD2" w14:paraId="17668C47" w14:textId="77777777" w:rsidTr="009A72C0">
        <w:trPr>
          <w:trHeight w:val="60"/>
        </w:trPr>
        <w:tc>
          <w:tcPr>
            <w:tcW w:w="1975" w:type="dxa"/>
          </w:tcPr>
          <w:p w14:paraId="0FB2341A" w14:textId="77777777" w:rsidR="009A72C0" w:rsidRPr="00152AD2" w:rsidRDefault="009A72C0" w:rsidP="00115A99">
            <w:pPr>
              <w:pStyle w:val="Tabletext"/>
              <w:spacing w:after="0" w:line="360" w:lineRule="auto"/>
              <w:rPr>
                <w:b/>
                <w:bCs/>
                <w:lang w:val="en-AU"/>
              </w:rPr>
            </w:pPr>
            <w:r w:rsidRPr="00152AD2">
              <w:rPr>
                <w:b/>
                <w:bCs/>
                <w:lang w:val="en-AU"/>
              </w:rPr>
              <w:t>LPG</w:t>
            </w:r>
          </w:p>
        </w:tc>
        <w:tc>
          <w:tcPr>
            <w:tcW w:w="7926" w:type="dxa"/>
          </w:tcPr>
          <w:p w14:paraId="428585B0" w14:textId="77777777" w:rsidR="009A72C0" w:rsidRPr="00152AD2" w:rsidRDefault="009A72C0" w:rsidP="00115A99">
            <w:pPr>
              <w:pStyle w:val="Tabletext"/>
              <w:spacing w:after="0" w:line="360" w:lineRule="auto"/>
              <w:rPr>
                <w:lang w:val="en-AU"/>
              </w:rPr>
            </w:pPr>
            <w:r w:rsidRPr="00152AD2">
              <w:rPr>
                <w:lang w:val="en-AU"/>
              </w:rPr>
              <w:t>Liquefied petroleum gas</w:t>
            </w:r>
          </w:p>
        </w:tc>
      </w:tr>
      <w:tr w:rsidR="009A72C0" w:rsidRPr="00152AD2" w14:paraId="5F94AD8A" w14:textId="77777777" w:rsidTr="009A72C0">
        <w:trPr>
          <w:trHeight w:val="60"/>
        </w:trPr>
        <w:tc>
          <w:tcPr>
            <w:tcW w:w="1975" w:type="dxa"/>
          </w:tcPr>
          <w:p w14:paraId="54204361" w14:textId="77777777" w:rsidR="009A72C0" w:rsidRPr="00152AD2" w:rsidRDefault="009A72C0" w:rsidP="00115A99">
            <w:pPr>
              <w:pStyle w:val="Tabletext"/>
              <w:spacing w:after="0" w:line="360" w:lineRule="auto"/>
              <w:rPr>
                <w:b/>
                <w:bCs/>
                <w:lang w:val="en-AU"/>
              </w:rPr>
            </w:pPr>
            <w:r w:rsidRPr="00152AD2">
              <w:rPr>
                <w:b/>
                <w:bCs/>
                <w:lang w:val="en-AU"/>
              </w:rPr>
              <w:t>LULUCF</w:t>
            </w:r>
          </w:p>
        </w:tc>
        <w:tc>
          <w:tcPr>
            <w:tcW w:w="7926" w:type="dxa"/>
          </w:tcPr>
          <w:p w14:paraId="74C5B3EE" w14:textId="77777777" w:rsidR="009A72C0" w:rsidRPr="00152AD2" w:rsidRDefault="009A72C0" w:rsidP="00115A99">
            <w:pPr>
              <w:pStyle w:val="Tabletext"/>
              <w:spacing w:after="0" w:line="360" w:lineRule="auto"/>
              <w:rPr>
                <w:lang w:val="en-AU"/>
              </w:rPr>
            </w:pPr>
            <w:r w:rsidRPr="00152AD2">
              <w:rPr>
                <w:lang w:val="en-AU"/>
              </w:rPr>
              <w:t>Land use, land use change and forestry</w:t>
            </w:r>
          </w:p>
        </w:tc>
      </w:tr>
      <w:tr w:rsidR="009A72C0" w:rsidRPr="00152AD2" w14:paraId="109A48C6" w14:textId="77777777" w:rsidTr="009A72C0">
        <w:trPr>
          <w:trHeight w:val="60"/>
        </w:trPr>
        <w:tc>
          <w:tcPr>
            <w:tcW w:w="1975" w:type="dxa"/>
          </w:tcPr>
          <w:p w14:paraId="65D27F8A" w14:textId="77777777" w:rsidR="009A72C0" w:rsidRPr="00152AD2" w:rsidRDefault="009A72C0" w:rsidP="00115A99">
            <w:pPr>
              <w:pStyle w:val="Tabletext"/>
              <w:spacing w:after="0" w:line="360" w:lineRule="auto"/>
              <w:rPr>
                <w:b/>
                <w:bCs/>
                <w:lang w:val="en-AU"/>
              </w:rPr>
            </w:pPr>
            <w:r w:rsidRPr="00152AD2">
              <w:rPr>
                <w:b/>
                <w:bCs/>
                <w:lang w:val="en-AU"/>
              </w:rPr>
              <w:t>Mt</w:t>
            </w:r>
          </w:p>
        </w:tc>
        <w:tc>
          <w:tcPr>
            <w:tcW w:w="7926" w:type="dxa"/>
          </w:tcPr>
          <w:p w14:paraId="5773CD5D" w14:textId="77777777" w:rsidR="009A72C0" w:rsidRPr="00152AD2" w:rsidRDefault="009A72C0" w:rsidP="00115A99">
            <w:pPr>
              <w:pStyle w:val="Tabletext"/>
              <w:spacing w:after="0" w:line="360" w:lineRule="auto"/>
              <w:rPr>
                <w:lang w:val="en-AU"/>
              </w:rPr>
            </w:pPr>
            <w:r w:rsidRPr="00152AD2">
              <w:rPr>
                <w:lang w:val="en-AU"/>
              </w:rPr>
              <w:t>Million tonnes</w:t>
            </w:r>
          </w:p>
        </w:tc>
      </w:tr>
      <w:tr w:rsidR="009A72C0" w:rsidRPr="00152AD2" w14:paraId="258F395B" w14:textId="77777777" w:rsidTr="009A72C0">
        <w:trPr>
          <w:trHeight w:val="60"/>
        </w:trPr>
        <w:tc>
          <w:tcPr>
            <w:tcW w:w="1975" w:type="dxa"/>
          </w:tcPr>
          <w:p w14:paraId="09E67B32" w14:textId="77777777" w:rsidR="009A72C0" w:rsidRPr="00152AD2" w:rsidRDefault="009A72C0" w:rsidP="00115A99">
            <w:pPr>
              <w:pStyle w:val="Tabletext"/>
              <w:spacing w:after="0" w:line="360" w:lineRule="auto"/>
              <w:rPr>
                <w:b/>
                <w:bCs/>
                <w:lang w:val="en-AU"/>
              </w:rPr>
            </w:pPr>
            <w:r w:rsidRPr="00152AD2">
              <w:rPr>
                <w:b/>
                <w:bCs/>
                <w:lang w:val="en-AU"/>
              </w:rPr>
              <w:t>NGERS</w:t>
            </w:r>
          </w:p>
        </w:tc>
        <w:tc>
          <w:tcPr>
            <w:tcW w:w="7926" w:type="dxa"/>
          </w:tcPr>
          <w:p w14:paraId="6A10E788" w14:textId="77777777" w:rsidR="009A72C0" w:rsidRPr="00152AD2" w:rsidRDefault="009A72C0" w:rsidP="00115A99">
            <w:pPr>
              <w:pStyle w:val="Tabletext"/>
              <w:spacing w:after="0" w:line="360" w:lineRule="auto"/>
              <w:rPr>
                <w:lang w:val="en-AU"/>
              </w:rPr>
            </w:pPr>
            <w:r w:rsidRPr="00152AD2">
              <w:rPr>
                <w:lang w:val="en-AU"/>
              </w:rPr>
              <w:t>National Greenhouse and Energy Reporting Scheme</w:t>
            </w:r>
          </w:p>
        </w:tc>
      </w:tr>
      <w:tr w:rsidR="009A72C0" w:rsidRPr="00152AD2" w14:paraId="2ACB168A" w14:textId="77777777" w:rsidTr="009A72C0">
        <w:trPr>
          <w:trHeight w:val="60"/>
        </w:trPr>
        <w:tc>
          <w:tcPr>
            <w:tcW w:w="1975" w:type="dxa"/>
          </w:tcPr>
          <w:p w14:paraId="02980F96" w14:textId="77777777" w:rsidR="009A72C0" w:rsidRPr="00152AD2" w:rsidRDefault="009A72C0" w:rsidP="00115A99">
            <w:pPr>
              <w:pStyle w:val="Tabletext"/>
              <w:spacing w:after="0" w:line="360" w:lineRule="auto"/>
              <w:rPr>
                <w:b/>
                <w:bCs/>
                <w:lang w:val="en-AU"/>
              </w:rPr>
            </w:pPr>
            <w:r w:rsidRPr="00152AD2">
              <w:rPr>
                <w:b/>
                <w:bCs/>
                <w:lang w:val="en-AU"/>
              </w:rPr>
              <w:t>SEC</w:t>
            </w:r>
          </w:p>
        </w:tc>
        <w:tc>
          <w:tcPr>
            <w:tcW w:w="7926" w:type="dxa"/>
          </w:tcPr>
          <w:p w14:paraId="1E9A9176" w14:textId="77777777" w:rsidR="009A72C0" w:rsidRPr="00152AD2" w:rsidRDefault="009A72C0" w:rsidP="00115A99">
            <w:pPr>
              <w:pStyle w:val="Tabletext"/>
              <w:spacing w:after="0" w:line="360" w:lineRule="auto"/>
              <w:rPr>
                <w:lang w:val="en-AU"/>
              </w:rPr>
            </w:pPr>
            <w:r w:rsidRPr="00152AD2">
              <w:rPr>
                <w:lang w:val="en-AU"/>
              </w:rPr>
              <w:t>State Electricity Commission Victoria</w:t>
            </w:r>
          </w:p>
        </w:tc>
      </w:tr>
      <w:tr w:rsidR="009A72C0" w:rsidRPr="00152AD2" w14:paraId="10B85839" w14:textId="77777777" w:rsidTr="009A72C0">
        <w:trPr>
          <w:trHeight w:val="60"/>
        </w:trPr>
        <w:tc>
          <w:tcPr>
            <w:tcW w:w="1975" w:type="dxa"/>
          </w:tcPr>
          <w:p w14:paraId="4C2C7F3A" w14:textId="77777777" w:rsidR="009A72C0" w:rsidRPr="00152AD2" w:rsidRDefault="009A72C0" w:rsidP="00115A99">
            <w:pPr>
              <w:pStyle w:val="Tabletext"/>
              <w:spacing w:after="0" w:line="360" w:lineRule="auto"/>
              <w:rPr>
                <w:b/>
                <w:bCs/>
                <w:lang w:val="en-AU"/>
              </w:rPr>
            </w:pPr>
            <w:r w:rsidRPr="00152AD2">
              <w:rPr>
                <w:b/>
                <w:bCs/>
                <w:lang w:val="en-AU"/>
              </w:rPr>
              <w:t>STGGI</w:t>
            </w:r>
          </w:p>
        </w:tc>
        <w:tc>
          <w:tcPr>
            <w:tcW w:w="7926" w:type="dxa"/>
          </w:tcPr>
          <w:p w14:paraId="6219BEC4" w14:textId="77777777" w:rsidR="009A72C0" w:rsidRPr="00152AD2" w:rsidRDefault="009A72C0" w:rsidP="00115A99">
            <w:pPr>
              <w:pStyle w:val="Tabletext"/>
              <w:spacing w:after="0" w:line="360" w:lineRule="auto"/>
              <w:rPr>
                <w:lang w:val="en-AU"/>
              </w:rPr>
            </w:pPr>
            <w:r w:rsidRPr="00152AD2">
              <w:rPr>
                <w:lang w:val="en-AU"/>
              </w:rPr>
              <w:t>State and Territory Greenhouse Gas Inventories</w:t>
            </w:r>
          </w:p>
        </w:tc>
      </w:tr>
      <w:tr w:rsidR="009A72C0" w:rsidRPr="00152AD2" w14:paraId="694152F1" w14:textId="77777777" w:rsidTr="009A72C0">
        <w:trPr>
          <w:trHeight w:val="60"/>
        </w:trPr>
        <w:tc>
          <w:tcPr>
            <w:tcW w:w="1975" w:type="dxa"/>
          </w:tcPr>
          <w:p w14:paraId="0B1D2F38" w14:textId="77777777" w:rsidR="009A72C0" w:rsidRPr="00152AD2" w:rsidRDefault="009A72C0" w:rsidP="00115A99">
            <w:pPr>
              <w:pStyle w:val="Tabletext"/>
              <w:spacing w:after="0" w:line="360" w:lineRule="auto"/>
              <w:rPr>
                <w:b/>
                <w:bCs/>
                <w:lang w:val="en-AU"/>
              </w:rPr>
            </w:pPr>
            <w:r w:rsidRPr="00152AD2">
              <w:rPr>
                <w:b/>
                <w:bCs/>
                <w:lang w:val="en-AU"/>
              </w:rPr>
              <w:t>UNFCCC</w:t>
            </w:r>
          </w:p>
        </w:tc>
        <w:tc>
          <w:tcPr>
            <w:tcW w:w="7926" w:type="dxa"/>
          </w:tcPr>
          <w:p w14:paraId="79A926C5" w14:textId="77777777" w:rsidR="009A72C0" w:rsidRPr="00152AD2" w:rsidRDefault="009A72C0" w:rsidP="00115A99">
            <w:pPr>
              <w:pStyle w:val="Tabletext"/>
              <w:spacing w:after="0" w:line="360" w:lineRule="auto"/>
              <w:rPr>
                <w:lang w:val="en-AU"/>
              </w:rPr>
            </w:pPr>
            <w:r w:rsidRPr="00152AD2">
              <w:rPr>
                <w:lang w:val="en-AU"/>
              </w:rPr>
              <w:t>United Nations Framework Convention on Climate Change</w:t>
            </w:r>
          </w:p>
        </w:tc>
      </w:tr>
    </w:tbl>
    <w:p w14:paraId="41080354" w14:textId="77777777" w:rsidR="00222FF2" w:rsidRPr="00152AD2" w:rsidRDefault="00222FF2" w:rsidP="00885AAB">
      <w:pPr>
        <w:pStyle w:val="Heading1"/>
        <w:pageBreakBefore/>
        <w:spacing w:after="240"/>
        <w:rPr>
          <w:lang w:val="en-AU"/>
        </w:rPr>
      </w:pPr>
      <w:bookmarkStart w:id="24" w:name="_Toc184285036"/>
      <w:bookmarkStart w:id="25" w:name="_Toc205897609"/>
      <w:r w:rsidRPr="00152AD2">
        <w:rPr>
          <w:lang w:val="en-AU"/>
        </w:rPr>
        <w:lastRenderedPageBreak/>
        <w:t>Publication information</w:t>
      </w:r>
      <w:bookmarkEnd w:id="24"/>
      <w:bookmarkEnd w:id="25"/>
    </w:p>
    <w:p w14:paraId="6B74778B" w14:textId="77777777" w:rsidR="00222FF2" w:rsidRPr="00152AD2" w:rsidRDefault="00222FF2" w:rsidP="00115A99">
      <w:pPr>
        <w:pStyle w:val="Heading2"/>
        <w:spacing w:after="0" w:line="360" w:lineRule="auto"/>
        <w:rPr>
          <w:szCs w:val="32"/>
          <w:lang w:val="en-AU"/>
        </w:rPr>
      </w:pPr>
      <w:bookmarkStart w:id="26" w:name="_Toc205897610"/>
      <w:r w:rsidRPr="00152AD2">
        <w:rPr>
          <w:szCs w:val="32"/>
          <w:lang w:val="en-AU"/>
        </w:rPr>
        <w:t>Acknowledgements</w:t>
      </w:r>
      <w:bookmarkEnd w:id="26"/>
    </w:p>
    <w:p w14:paraId="6E1AFB04" w14:textId="77777777" w:rsidR="00FF45EB" w:rsidRPr="00152AD2" w:rsidRDefault="00FF45EB" w:rsidP="00FF45EB">
      <w:pPr>
        <w:pStyle w:val="BodyText"/>
        <w:spacing w:after="120"/>
        <w:rPr>
          <w:lang w:val="en-AU"/>
        </w:rPr>
      </w:pPr>
      <w:r w:rsidRPr="00152AD2">
        <w:rPr>
          <w:lang w:val="en-AU"/>
        </w:rPr>
        <w:t>We acknowledge and respect Victorian Traditional Owners as the original custodians of Victoria’s land and waters, their unique ability to care for Country and deep spiritual connection to it.</w:t>
      </w:r>
    </w:p>
    <w:p w14:paraId="1C1CBB78" w14:textId="77777777" w:rsidR="00FF45EB" w:rsidRPr="00152AD2" w:rsidRDefault="00FF45EB" w:rsidP="00FF45EB">
      <w:pPr>
        <w:pStyle w:val="BodyText"/>
        <w:spacing w:after="120"/>
        <w:rPr>
          <w:lang w:val="en-AU"/>
        </w:rPr>
      </w:pPr>
      <w:r w:rsidRPr="00152AD2">
        <w:rPr>
          <w:lang w:val="en-AU"/>
        </w:rPr>
        <w:t xml:space="preserve">We honour Elders past and present whose </w:t>
      </w:r>
      <w:proofErr w:type="gramStart"/>
      <w:r w:rsidRPr="00152AD2">
        <w:rPr>
          <w:lang w:val="en-AU"/>
        </w:rPr>
        <w:t>knowledge</w:t>
      </w:r>
      <w:proofErr w:type="gramEnd"/>
      <w:r w:rsidRPr="00152AD2">
        <w:rPr>
          <w:lang w:val="en-AU"/>
        </w:rPr>
        <w:t xml:space="preserve"> and wisdom has ensured the continuation of culture and traditional practices.</w:t>
      </w:r>
    </w:p>
    <w:p w14:paraId="1550BD8B" w14:textId="77777777" w:rsidR="00222FF2" w:rsidRPr="00152AD2" w:rsidRDefault="00FF45EB" w:rsidP="00C51A83">
      <w:pPr>
        <w:pStyle w:val="BodyText"/>
        <w:spacing w:after="120"/>
        <w:rPr>
          <w:lang w:val="en-AU"/>
        </w:rPr>
      </w:pPr>
      <w:r w:rsidRPr="00152AD2">
        <w:rPr>
          <w:lang w:val="en-AU"/>
        </w:rPr>
        <w:t>DEECA is committed to genuinely partnering with Victorian Traditional Owners and Victoria’s Aboriginal community to progress their aspirations.</w:t>
      </w:r>
    </w:p>
    <w:p w14:paraId="558433E5" w14:textId="77777777" w:rsidR="00222FF2" w:rsidRPr="00152AD2" w:rsidRDefault="00222FF2" w:rsidP="00115A99">
      <w:pPr>
        <w:pStyle w:val="Heading2"/>
        <w:spacing w:after="0" w:line="360" w:lineRule="auto"/>
        <w:rPr>
          <w:szCs w:val="32"/>
          <w:lang w:val="en-AU"/>
        </w:rPr>
      </w:pPr>
      <w:bookmarkStart w:id="27" w:name="_Toc205897611"/>
      <w:r w:rsidRPr="00152AD2">
        <w:rPr>
          <w:szCs w:val="32"/>
          <w:lang w:val="en-AU"/>
        </w:rPr>
        <w:t>Copyright</w:t>
      </w:r>
      <w:bookmarkEnd w:id="27"/>
    </w:p>
    <w:p w14:paraId="4BC7AD16" w14:textId="4C2F56DC" w:rsidR="00222FF2" w:rsidRPr="00152AD2" w:rsidRDefault="00222FF2" w:rsidP="00C51A83">
      <w:pPr>
        <w:pStyle w:val="BodyText"/>
        <w:spacing w:after="120"/>
        <w:ind w:right="-285"/>
        <w:rPr>
          <w:lang w:val="en-AU"/>
        </w:rPr>
      </w:pPr>
      <w:r w:rsidRPr="00152AD2">
        <w:rPr>
          <w:lang w:val="en-AU"/>
        </w:rPr>
        <w:t>© The State of Victoria Department of Energy, Environment and Climate Action, 202</w:t>
      </w:r>
      <w:r w:rsidR="00FF45EB" w:rsidRPr="00152AD2">
        <w:rPr>
          <w:lang w:val="en-AU"/>
        </w:rPr>
        <w:t>5</w:t>
      </w:r>
      <w:r w:rsidRPr="00152AD2">
        <w:rPr>
          <w:lang w:val="en-AU"/>
        </w:rPr>
        <w:t>.</w:t>
      </w:r>
    </w:p>
    <w:p w14:paraId="4647F71D" w14:textId="77777777" w:rsidR="00222FF2" w:rsidRPr="00152AD2" w:rsidRDefault="00222FF2" w:rsidP="00115A99">
      <w:pPr>
        <w:pStyle w:val="Heading2"/>
        <w:spacing w:after="0" w:line="360" w:lineRule="auto"/>
        <w:rPr>
          <w:szCs w:val="32"/>
          <w:lang w:val="en-AU"/>
        </w:rPr>
      </w:pPr>
      <w:bookmarkStart w:id="28" w:name="_Toc205897612"/>
      <w:r w:rsidRPr="00152AD2">
        <w:rPr>
          <w:szCs w:val="32"/>
          <w:lang w:val="en-AU"/>
        </w:rPr>
        <w:t>Creative Commons</w:t>
      </w:r>
      <w:bookmarkEnd w:id="28"/>
    </w:p>
    <w:p w14:paraId="51DFF05F" w14:textId="14BD7344" w:rsidR="00222FF2" w:rsidRPr="00152AD2" w:rsidRDefault="00222FF2" w:rsidP="00222FF2">
      <w:pPr>
        <w:pStyle w:val="BodyText"/>
        <w:ind w:right="-285"/>
        <w:rPr>
          <w:lang w:val="en-AU"/>
        </w:rPr>
      </w:pPr>
      <w:r w:rsidRPr="00152AD2">
        <w:rPr>
          <w:lang w:val="en-AU"/>
        </w:rPr>
        <w:t xml:space="preserve">This work is licensed under a Creative Commons Attribution 4.0 International licence, visit the </w:t>
      </w:r>
      <w:hyperlink r:id="rId21" w:tooltip="Hyperlink to Creative Commons website" w:history="1">
        <w:r w:rsidRPr="00152AD2">
          <w:rPr>
            <w:rStyle w:val="Hyperlink"/>
            <w:lang w:val="en-AU"/>
          </w:rPr>
          <w:t>Creative Commons website</w:t>
        </w:r>
      </w:hyperlink>
      <w:r w:rsidRPr="00152AD2">
        <w:rPr>
          <w:lang w:val="en-AU"/>
        </w:rPr>
        <w:t xml:space="preserve"> (</w:t>
      </w:r>
      <w:hyperlink r:id="rId22" w:tooltip="Hyperlink to Creative Commons website" w:history="1">
        <w:r w:rsidRPr="00152AD2">
          <w:rPr>
            <w:rStyle w:val="Hyperlink"/>
            <w:lang w:val="en-AU"/>
          </w:rPr>
          <w:t>http://creativecommons.org/licenses/by/4.0/</w:t>
        </w:r>
      </w:hyperlink>
      <w:r w:rsidRPr="00152AD2">
        <w:rPr>
          <w:lang w:val="en-AU"/>
        </w:rPr>
        <w:t>).</w:t>
      </w:r>
    </w:p>
    <w:p w14:paraId="17154860" w14:textId="77777777" w:rsidR="00222FF2" w:rsidRPr="00152AD2" w:rsidRDefault="00222FF2" w:rsidP="00222FF2">
      <w:pPr>
        <w:pStyle w:val="BodyText"/>
        <w:ind w:right="-285"/>
        <w:rPr>
          <w:lang w:val="en-AU"/>
        </w:rPr>
      </w:pPr>
      <w:r w:rsidRPr="00152AD2">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AE54A6A" w14:textId="77777777" w:rsidR="00F45CAB" w:rsidRDefault="002627A0" w:rsidP="00F45CAB">
      <w:pPr>
        <w:pStyle w:val="BodyText"/>
        <w:spacing w:after="0"/>
        <w:ind w:right="-285"/>
        <w:rPr>
          <w:b/>
          <w:bCs/>
          <w:lang w:val="en-AU"/>
        </w:rPr>
      </w:pPr>
      <w:r w:rsidRPr="002627A0">
        <w:rPr>
          <w:b/>
          <w:bCs/>
          <w:lang w:val="en-AU"/>
        </w:rPr>
        <w:t xml:space="preserve">ISSN </w:t>
      </w:r>
      <w:r w:rsidRPr="002627A0">
        <w:rPr>
          <w:lang w:val="en-AU"/>
        </w:rPr>
        <w:t>2652-8495</w:t>
      </w:r>
      <w:r w:rsidRPr="002627A0">
        <w:rPr>
          <w:b/>
          <w:bCs/>
          <w:lang w:val="en-AU"/>
        </w:rPr>
        <w:t xml:space="preserve"> (online PDF/Word) </w:t>
      </w:r>
    </w:p>
    <w:p w14:paraId="0B0C6697" w14:textId="5579C0C6" w:rsidR="00222FF2" w:rsidRPr="00152AD2" w:rsidRDefault="002627A0" w:rsidP="00C51A83">
      <w:pPr>
        <w:pStyle w:val="BodyText"/>
        <w:spacing w:after="120"/>
        <w:ind w:right="-285"/>
        <w:rPr>
          <w:b/>
          <w:bCs/>
          <w:lang w:val="en-AU"/>
        </w:rPr>
      </w:pPr>
      <w:r w:rsidRPr="002627A0">
        <w:rPr>
          <w:b/>
          <w:bCs/>
          <w:lang w:val="en-AU"/>
        </w:rPr>
        <w:t xml:space="preserve">ISSN </w:t>
      </w:r>
      <w:r w:rsidRPr="002627A0">
        <w:rPr>
          <w:lang w:val="en-AU"/>
        </w:rPr>
        <w:t>2652-8932</w:t>
      </w:r>
      <w:r w:rsidRPr="002627A0">
        <w:rPr>
          <w:b/>
          <w:bCs/>
          <w:lang w:val="en-AU"/>
        </w:rPr>
        <w:t xml:space="preserve"> (print</w:t>
      </w:r>
      <w:r w:rsidR="00222FF2" w:rsidRPr="00152AD2">
        <w:rPr>
          <w:b/>
          <w:bCs/>
          <w:lang w:val="en-AU"/>
        </w:rPr>
        <w:t>)</w:t>
      </w:r>
    </w:p>
    <w:p w14:paraId="75C860D4" w14:textId="77777777" w:rsidR="00222FF2" w:rsidRPr="00152AD2" w:rsidRDefault="00222FF2" w:rsidP="00115A99">
      <w:pPr>
        <w:pStyle w:val="Heading2"/>
        <w:spacing w:after="0" w:line="360" w:lineRule="auto"/>
        <w:rPr>
          <w:szCs w:val="32"/>
          <w:lang w:val="en-AU"/>
        </w:rPr>
      </w:pPr>
      <w:bookmarkStart w:id="29" w:name="_Toc205897613"/>
      <w:r w:rsidRPr="00152AD2">
        <w:rPr>
          <w:szCs w:val="32"/>
          <w:lang w:val="en-AU"/>
        </w:rPr>
        <w:t>Disclaimer</w:t>
      </w:r>
      <w:bookmarkEnd w:id="29"/>
    </w:p>
    <w:p w14:paraId="2337AB24" w14:textId="77777777" w:rsidR="00222FF2" w:rsidRPr="00152AD2" w:rsidRDefault="00222FF2" w:rsidP="00C51A83">
      <w:pPr>
        <w:pStyle w:val="BodyText"/>
        <w:spacing w:after="120"/>
        <w:rPr>
          <w:lang w:val="en-AU"/>
        </w:rPr>
      </w:pPr>
      <w:r w:rsidRPr="00152AD2">
        <w:rPr>
          <w:lang w:val="en-AU"/>
        </w:rPr>
        <w:t xml:space="preserve">This publication may be of assistance to </w:t>
      </w:r>
      <w:proofErr w:type="gramStart"/>
      <w:r w:rsidRPr="00152AD2">
        <w:rPr>
          <w:lang w:val="en-AU"/>
        </w:rPr>
        <w:t>you</w:t>
      </w:r>
      <w:proofErr w:type="gramEnd"/>
      <w:r w:rsidRPr="00152AD2">
        <w:rPr>
          <w:lang w:val="en-AU"/>
        </w:rPr>
        <w:t xml:space="preserve"> but the State of Victoria and its employees do not guarantee that the publication is without flaw of any kind or is wholly appropriate for </w:t>
      </w:r>
      <w:r w:rsidRPr="00152AD2">
        <w:rPr>
          <w:lang w:val="en-AU"/>
        </w:rPr>
        <w:lastRenderedPageBreak/>
        <w:t xml:space="preserve">your </w:t>
      </w:r>
      <w:proofErr w:type="gramStart"/>
      <w:r w:rsidRPr="00152AD2">
        <w:rPr>
          <w:lang w:val="en-AU"/>
        </w:rPr>
        <w:t>particular purposes</w:t>
      </w:r>
      <w:proofErr w:type="gramEnd"/>
      <w:r w:rsidRPr="00152AD2">
        <w:rPr>
          <w:lang w:val="en-AU"/>
        </w:rPr>
        <w:t xml:space="preserve"> and therefore disclaims all liability for any error, loss or other consequence which may arise from you relying on any information in this publication.</w:t>
      </w:r>
    </w:p>
    <w:p w14:paraId="29AD3CCD" w14:textId="77777777" w:rsidR="00222FF2" w:rsidRPr="00152AD2" w:rsidRDefault="00222FF2" w:rsidP="00115A99">
      <w:pPr>
        <w:pStyle w:val="Heading2"/>
        <w:spacing w:after="0" w:line="360" w:lineRule="auto"/>
        <w:rPr>
          <w:szCs w:val="32"/>
          <w:lang w:val="en-AU"/>
        </w:rPr>
      </w:pPr>
      <w:bookmarkStart w:id="30" w:name="_Toc205897614"/>
      <w:r w:rsidRPr="00152AD2">
        <w:rPr>
          <w:szCs w:val="32"/>
          <w:lang w:val="en-AU"/>
        </w:rPr>
        <w:t>Accessibility</w:t>
      </w:r>
      <w:bookmarkEnd w:id="30"/>
    </w:p>
    <w:p w14:paraId="76024B34" w14:textId="63BB82D4" w:rsidR="00222FF2" w:rsidRPr="00152AD2" w:rsidRDefault="00222FF2" w:rsidP="00C51A83">
      <w:pPr>
        <w:pStyle w:val="BodyText"/>
        <w:spacing w:after="120"/>
        <w:rPr>
          <w:lang w:val="en-AU"/>
        </w:rPr>
      </w:pPr>
      <w:r w:rsidRPr="00152AD2">
        <w:rPr>
          <w:lang w:val="en-AU"/>
        </w:rPr>
        <w:t xml:space="preserve">To receive this document in an alternative format, phone the Customer Service Centre on 136 186, email </w:t>
      </w:r>
      <w:hyperlink r:id="rId23" w:tooltip="Send an email to customer service" w:history="1">
        <w:r w:rsidRPr="00152AD2">
          <w:rPr>
            <w:rStyle w:val="Hyperlink"/>
            <w:lang w:val="en-AU"/>
          </w:rPr>
          <w:t>customer.service@delwp.vic.gov.au</w:t>
        </w:r>
      </w:hyperlink>
      <w:r w:rsidRPr="00152AD2">
        <w:rPr>
          <w:lang w:val="en-AU"/>
        </w:rPr>
        <w:t>, or contact National Relay Service on 133 677. Available at DEECA website (</w:t>
      </w:r>
      <w:hyperlink r:id="rId24" w:tooltip="Hyperlink to the DEECA website" w:history="1">
        <w:r w:rsidRPr="00152AD2">
          <w:rPr>
            <w:rStyle w:val="Hyperlink"/>
            <w:lang w:val="en-AU"/>
          </w:rPr>
          <w:t>www.deeca.vic.gov.au</w:t>
        </w:r>
      </w:hyperlink>
      <w:r w:rsidRPr="00152AD2">
        <w:rPr>
          <w:lang w:val="en-AU"/>
        </w:rPr>
        <w:t>).</w:t>
      </w:r>
    </w:p>
    <w:p w14:paraId="510BF5B6" w14:textId="77777777" w:rsidR="00F767CD" w:rsidRPr="00152AD2" w:rsidRDefault="00222FF2" w:rsidP="00115A99">
      <w:pPr>
        <w:pStyle w:val="BodyText"/>
        <w:spacing w:before="1080" w:after="0"/>
        <w:rPr>
          <w:b/>
          <w:bCs/>
          <w:lang w:val="en-AU"/>
        </w:rPr>
      </w:pPr>
      <w:r w:rsidRPr="00152AD2">
        <w:rPr>
          <w:b/>
          <w:bCs/>
          <w:lang w:val="en-AU"/>
        </w:rPr>
        <w:t>End of document.</w:t>
      </w:r>
    </w:p>
    <w:sectPr w:rsidR="00F767CD" w:rsidRPr="00152AD2" w:rsidSect="00EB277B">
      <w:footerReference w:type="default" r:id="rId25"/>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E7C2" w14:textId="77777777" w:rsidR="00E97001" w:rsidRDefault="00E97001" w:rsidP="00F2730B">
      <w:pPr>
        <w:spacing w:after="0" w:line="240" w:lineRule="auto"/>
      </w:pPr>
      <w:r>
        <w:separator/>
      </w:r>
    </w:p>
  </w:endnote>
  <w:endnote w:type="continuationSeparator" w:id="0">
    <w:p w14:paraId="38A6FFBC" w14:textId="77777777" w:rsidR="00E97001" w:rsidRDefault="00E97001"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AdobeClean-Regular">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2BB5717D"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CF8387"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2E9E99F4"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584F3B8" w14:textId="33BB83F9" w:rsidR="00EB277B" w:rsidRDefault="004A1233" w:rsidP="00EB277B">
    <w:pPr>
      <w:pStyle w:val="Footer"/>
      <w:ind w:right="360"/>
    </w:pPr>
    <w:r w:rsidRPr="00241D6A">
      <w:rPr>
        <w:lang w:val="en-US"/>
      </w:rPr>
      <w:t>Victorian Greenhouse</w:t>
    </w:r>
    <w:r>
      <w:rPr>
        <w:lang w:val="en-US"/>
      </w:rPr>
      <w:t xml:space="preserve"> </w:t>
    </w:r>
    <w:r w:rsidRPr="00241D6A">
      <w:rPr>
        <w:lang w:val="en-US"/>
      </w:rPr>
      <w:t>Gas Emissions Report</w:t>
    </w:r>
    <w:r>
      <w:rPr>
        <w:lang w:val="en-US"/>
      </w:rPr>
      <w:t xml:space="preserve"> </w:t>
    </w:r>
    <w:r w:rsidRPr="00241D6A">
      <w:rPr>
        <w:lang w:val="en-US"/>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4E75029D"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F2212A" w14:textId="3190066E" w:rsidR="00B165A7" w:rsidRDefault="004A1233" w:rsidP="00B165A7">
    <w:pPr>
      <w:pStyle w:val="Footer"/>
      <w:ind w:right="360"/>
    </w:pPr>
    <w:r w:rsidRPr="00241D6A">
      <w:rPr>
        <w:lang w:val="en-US"/>
      </w:rPr>
      <w:t>Victorian Greenhouse</w:t>
    </w:r>
    <w:r>
      <w:rPr>
        <w:lang w:val="en-US"/>
      </w:rPr>
      <w:t xml:space="preserve"> </w:t>
    </w:r>
    <w:r w:rsidRPr="00241D6A">
      <w:rPr>
        <w:lang w:val="en-US"/>
      </w:rPr>
      <w:t>Gas Emissions Report</w:t>
    </w:r>
    <w:r>
      <w:rPr>
        <w:lang w:val="en-US"/>
      </w:rPr>
      <w:t xml:space="preserve"> </w:t>
    </w:r>
    <w:r w:rsidRPr="00241D6A">
      <w:rPr>
        <w:lang w:val="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C558" w14:textId="77777777" w:rsidR="00E97001" w:rsidRDefault="00E97001" w:rsidP="00F2730B">
      <w:pPr>
        <w:spacing w:after="0" w:line="240" w:lineRule="auto"/>
      </w:pPr>
      <w:r>
        <w:separator/>
      </w:r>
    </w:p>
  </w:footnote>
  <w:footnote w:type="continuationSeparator" w:id="0">
    <w:p w14:paraId="0EBAA8B0" w14:textId="77777777" w:rsidR="00E97001" w:rsidRDefault="00E97001" w:rsidP="00F2730B">
      <w:pPr>
        <w:spacing w:after="0" w:line="240" w:lineRule="auto"/>
      </w:pPr>
      <w:r>
        <w:continuationSeparator/>
      </w:r>
    </w:p>
  </w:footnote>
  <w:footnote w:id="1">
    <w:p w14:paraId="0ABD1A92" w14:textId="1594FCB9" w:rsidR="001D28AE" w:rsidRDefault="001D28AE">
      <w:pPr>
        <w:pStyle w:val="FootnoteText"/>
      </w:pPr>
      <w:r>
        <w:rPr>
          <w:rStyle w:val="FootnoteReference"/>
        </w:rPr>
        <w:footnoteRef/>
      </w:r>
      <w:r>
        <w:t xml:space="preserve"> </w:t>
      </w:r>
      <w:r w:rsidRPr="001D28AE">
        <w:t>In this report, shares of emissions from each sector are compared against Victoria's total net emissions. This includes negative emissions from sequestration in the land sector. Using this approach, the shares of emissions from non-land sectors add up to more than 100%. When sequestration from the land sector is excluded, burning fossil fuels to make energy contributed to almost 80% of Victoria's emissions.</w:t>
      </w:r>
    </w:p>
  </w:footnote>
  <w:footnote w:id="2">
    <w:p w14:paraId="665D5D3D" w14:textId="447EE515" w:rsidR="00330FE4" w:rsidRDefault="00330FE4" w:rsidP="00797B30">
      <w:pPr>
        <w:pStyle w:val="FootnoteText"/>
      </w:pPr>
      <w:r>
        <w:rPr>
          <w:rStyle w:val="FootnoteReference"/>
        </w:rPr>
        <w:footnoteRef/>
      </w:r>
      <w:r>
        <w:t xml:space="preserve"> </w:t>
      </w:r>
      <w:r w:rsidRPr="00330FE4">
        <w:t>Only those emissions generating activities that occur in Victoria are counted in the state’s emissions inventory. This means that the electricity sector accounts for emissions from electricity generation in Victoria, including any electricity that is exported to other states. Emissions from electricity that is imported to Victoria is not included in the state’s emissions.</w:t>
      </w:r>
    </w:p>
  </w:footnote>
  <w:footnote w:id="3">
    <w:p w14:paraId="03ED2E71" w14:textId="5155C468" w:rsidR="008B671B" w:rsidRDefault="008B671B" w:rsidP="00797B30">
      <w:pPr>
        <w:pStyle w:val="FootnoteText"/>
      </w:pPr>
      <w:r>
        <w:rPr>
          <w:rStyle w:val="FootnoteReference"/>
        </w:rPr>
        <w:footnoteRef/>
      </w:r>
      <w:r>
        <w:t xml:space="preserve"> </w:t>
      </w:r>
      <w:r w:rsidRPr="00797B30">
        <w:t>Electricity emissions from the use of electric vehicles (e.g. electric cars, trains, and trams) are counted in the electricity sector.</w:t>
      </w:r>
    </w:p>
  </w:footnote>
  <w:footnote w:id="4">
    <w:p w14:paraId="14B211DD" w14:textId="2B4A3DAB" w:rsidR="00663E1F" w:rsidRDefault="00663E1F" w:rsidP="00663E1F">
      <w:r>
        <w:rPr>
          <w:vertAlign w:val="superscript"/>
        </w:rPr>
        <w:footnoteRef/>
      </w:r>
      <w:r w:rsidR="00B12B29">
        <w:t xml:space="preserve"> </w:t>
      </w:r>
      <w:r w:rsidRPr="00B12B29">
        <w:rPr>
          <w:rStyle w:val="FootnoteTextChar"/>
        </w:rPr>
        <w:t>DEECA, 2023, Victorian Renewable Energy Target 2022/23 Progress Report</w:t>
      </w:r>
    </w:p>
  </w:footnote>
  <w:footnote w:id="5">
    <w:p w14:paraId="076A31E7" w14:textId="37024DD2" w:rsidR="00663E1F" w:rsidRDefault="00663E1F" w:rsidP="00663E1F">
      <w:r>
        <w:rPr>
          <w:vertAlign w:val="superscript"/>
        </w:rPr>
        <w:footnoteRef/>
      </w:r>
      <w:r w:rsidR="00B12B29">
        <w:t xml:space="preserve"> </w:t>
      </w:r>
      <w:r w:rsidRPr="00B12B29">
        <w:rPr>
          <w:rStyle w:val="FootnoteTextChar"/>
        </w:rPr>
        <w:t>DJSIR, 2025, Summary of Victorian economic data</w:t>
      </w:r>
      <w:r w:rsidR="00B12B29">
        <w:rPr>
          <w:rStyle w:val="FootnoteTextChar"/>
        </w:rPr>
        <w:t>.</w:t>
      </w:r>
    </w:p>
  </w:footnote>
  <w:footnote w:id="6">
    <w:p w14:paraId="490258D0" w14:textId="6E70407C" w:rsidR="00663E1F" w:rsidRDefault="00663E1F" w:rsidP="00663E1F">
      <w:r>
        <w:rPr>
          <w:vertAlign w:val="superscript"/>
        </w:rPr>
        <w:footnoteRef/>
      </w:r>
      <w:r w:rsidR="00B12B29">
        <w:t xml:space="preserve"> </w:t>
      </w:r>
      <w:r w:rsidRPr="00B12B29">
        <w:rPr>
          <w:rStyle w:val="FootnoteTextChar"/>
        </w:rPr>
        <w:t>AEMO, 2025, Gas-Electricity Meter Data Linking Project Report</w:t>
      </w:r>
      <w:r w:rsidR="00B12B29">
        <w:rPr>
          <w:rStyle w:val="FootnoteTextChar"/>
        </w:rPr>
        <w:t>.</w:t>
      </w:r>
    </w:p>
  </w:footnote>
  <w:footnote w:id="7">
    <w:p w14:paraId="5957C641" w14:textId="009DFE1C" w:rsidR="00B12B29" w:rsidRDefault="00B12B29" w:rsidP="00161F14">
      <w:pPr>
        <w:spacing w:after="120" w:line="360" w:lineRule="auto"/>
        <w:ind w:left="170" w:hanging="170"/>
      </w:pPr>
      <w:r>
        <w:rPr>
          <w:vertAlign w:val="superscript"/>
        </w:rPr>
        <w:footnoteRef/>
      </w:r>
      <w:r>
        <w:t xml:space="preserve"> </w:t>
      </w:r>
      <w:r w:rsidRPr="00797B30">
        <w:rPr>
          <w:rStyle w:val="FootnoteTextChar"/>
        </w:rPr>
        <w:t>Bureau of Infrastructure and Transport Research Economics, 2025, Australian Infrastructure and Transport Statistics Yearbook 2024</w:t>
      </w:r>
    </w:p>
  </w:footnote>
  <w:footnote w:id="8">
    <w:p w14:paraId="34978903" w14:textId="22974981" w:rsidR="00E41AFE" w:rsidRDefault="00E41AFE" w:rsidP="00E41AFE">
      <w:pPr>
        <w:pStyle w:val="FootnoteText"/>
      </w:pPr>
      <w:r>
        <w:rPr>
          <w:rStyle w:val="FootnoteReference"/>
        </w:rPr>
        <w:footnoteRef/>
      </w:r>
      <w:r>
        <w:t xml:space="preserve"> Department of Treasury and Finance, 2024, Victoria’s Economic Bulletin: A region-based examination of electric vehicle take-up rates in Australia</w:t>
      </w:r>
    </w:p>
  </w:footnote>
  <w:footnote w:id="9">
    <w:p w14:paraId="2EAE4291" w14:textId="77777777" w:rsidR="00E41AFE" w:rsidRDefault="00E41AFE" w:rsidP="00E41AFE">
      <w:pPr>
        <w:spacing w:line="360" w:lineRule="auto"/>
        <w:ind w:left="170" w:hanging="170"/>
      </w:pPr>
      <w:r>
        <w:rPr>
          <w:vertAlign w:val="superscript"/>
        </w:rPr>
        <w:footnoteRef/>
      </w:r>
      <w:r>
        <w:t xml:space="preserve"> </w:t>
      </w:r>
      <w:r w:rsidRPr="00B12B29">
        <w:rPr>
          <w:rStyle w:val="FootnoteTextChar"/>
        </w:rPr>
        <w:t>National Transport Commission, 2024, Light vehicle emissions intensity in Australia: trends over time</w:t>
      </w:r>
    </w:p>
  </w:footnote>
  <w:footnote w:id="10">
    <w:p w14:paraId="56FAA1EB" w14:textId="1BAC5F61" w:rsidR="00797B30" w:rsidRDefault="00797B30" w:rsidP="00797B30">
      <w:pPr>
        <w:spacing w:line="360" w:lineRule="auto"/>
        <w:ind w:left="170" w:hanging="170"/>
      </w:pPr>
      <w:r>
        <w:rPr>
          <w:vertAlign w:val="superscript"/>
        </w:rPr>
        <w:footnoteRef/>
      </w:r>
      <w:r>
        <w:t xml:space="preserve"> </w:t>
      </w:r>
      <w:r w:rsidRPr="00797B30">
        <w:rPr>
          <w:rStyle w:val="FootnoteTextChar"/>
        </w:rPr>
        <w:t>The National Quarterly Update presents a summarised version of Australia’s most up-to-date emissions, and is supplemented with estimates where complete data is not yet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854C2"/>
    <w:multiLevelType w:val="hybridMultilevel"/>
    <w:tmpl w:val="DE62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2"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3"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8"/>
  </w:num>
  <w:num w:numId="2" w16cid:durableId="601570190">
    <w:abstractNumId w:val="43"/>
  </w:num>
  <w:num w:numId="3" w16cid:durableId="1813522522">
    <w:abstractNumId w:val="3"/>
  </w:num>
  <w:num w:numId="4" w16cid:durableId="533276510">
    <w:abstractNumId w:val="41"/>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6"/>
  </w:num>
  <w:num w:numId="10" w16cid:durableId="307325374">
    <w:abstractNumId w:val="10"/>
  </w:num>
  <w:num w:numId="11" w16cid:durableId="1207567416">
    <w:abstractNumId w:val="17"/>
  </w:num>
  <w:num w:numId="12" w16cid:durableId="1714499310">
    <w:abstractNumId w:val="16"/>
  </w:num>
  <w:num w:numId="13" w16cid:durableId="1557817223">
    <w:abstractNumId w:val="30"/>
  </w:num>
  <w:num w:numId="14" w16cid:durableId="766468131">
    <w:abstractNumId w:val="7"/>
  </w:num>
  <w:num w:numId="15" w16cid:durableId="401634644">
    <w:abstractNumId w:val="4"/>
  </w:num>
  <w:num w:numId="16" w16cid:durableId="2004504209">
    <w:abstractNumId w:val="21"/>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7"/>
  </w:num>
  <w:num w:numId="25" w16cid:durableId="1336883623">
    <w:abstractNumId w:val="32"/>
  </w:num>
  <w:num w:numId="26" w16cid:durableId="1859196455">
    <w:abstractNumId w:val="9"/>
  </w:num>
  <w:num w:numId="27" w16cid:durableId="1643851276">
    <w:abstractNumId w:val="22"/>
  </w:num>
  <w:num w:numId="28" w16cid:durableId="1329362202">
    <w:abstractNumId w:val="20"/>
  </w:num>
  <w:num w:numId="29" w16cid:durableId="1795561713">
    <w:abstractNumId w:val="34"/>
  </w:num>
  <w:num w:numId="30" w16cid:durableId="71048478">
    <w:abstractNumId w:val="34"/>
  </w:num>
  <w:num w:numId="31" w16cid:durableId="755857827">
    <w:abstractNumId w:val="25"/>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6"/>
  </w:num>
  <w:num w:numId="38" w16cid:durableId="1204173423">
    <w:abstractNumId w:val="31"/>
  </w:num>
  <w:num w:numId="39" w16cid:durableId="1448893088">
    <w:abstractNumId w:val="42"/>
  </w:num>
  <w:num w:numId="40" w16cid:durableId="1900021242">
    <w:abstractNumId w:val="39"/>
  </w:num>
  <w:num w:numId="41" w16cid:durableId="995105162">
    <w:abstractNumId w:val="38"/>
  </w:num>
  <w:num w:numId="42" w16cid:durableId="1581451535">
    <w:abstractNumId w:val="14"/>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5"/>
  </w:num>
  <w:num w:numId="48" w16cid:durableId="2061048727">
    <w:abstractNumId w:val="13"/>
  </w:num>
  <w:num w:numId="49" w16cid:durableId="1849246280">
    <w:abstractNumId w:val="11"/>
  </w:num>
  <w:num w:numId="50" w16cid:durableId="785197264">
    <w:abstractNumId w:val="35"/>
  </w:num>
  <w:num w:numId="51" w16cid:durableId="1299335420">
    <w:abstractNumId w:val="19"/>
  </w:num>
  <w:num w:numId="52" w16cid:durableId="1754938255">
    <w:abstractNumId w:val="21"/>
  </w:num>
  <w:num w:numId="53" w16cid:durableId="1013340051">
    <w:abstractNumId w:val="40"/>
  </w:num>
  <w:num w:numId="54" w16cid:durableId="888301183">
    <w:abstractNumId w:val="29"/>
  </w:num>
  <w:num w:numId="55" w16cid:durableId="30601625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6A"/>
    <w:rsid w:val="00000541"/>
    <w:rsid w:val="00001E7A"/>
    <w:rsid w:val="000031BB"/>
    <w:rsid w:val="000055D4"/>
    <w:rsid w:val="00006FD2"/>
    <w:rsid w:val="0000790F"/>
    <w:rsid w:val="00007C3E"/>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6D6"/>
    <w:rsid w:val="000B181D"/>
    <w:rsid w:val="000B62B5"/>
    <w:rsid w:val="000C021F"/>
    <w:rsid w:val="000C259F"/>
    <w:rsid w:val="000C377A"/>
    <w:rsid w:val="000C4A37"/>
    <w:rsid w:val="000C4B11"/>
    <w:rsid w:val="000D4E1A"/>
    <w:rsid w:val="000D7F89"/>
    <w:rsid w:val="000E57A3"/>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5A99"/>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2AD2"/>
    <w:rsid w:val="00156D15"/>
    <w:rsid w:val="00161F14"/>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28AE"/>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D6A"/>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7A0"/>
    <w:rsid w:val="002629BE"/>
    <w:rsid w:val="0026417C"/>
    <w:rsid w:val="00266DF9"/>
    <w:rsid w:val="002705A8"/>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0348"/>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0FE4"/>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1233"/>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C77"/>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0C8B"/>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3E1F"/>
    <w:rsid w:val="0066651F"/>
    <w:rsid w:val="0067093E"/>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508A"/>
    <w:rsid w:val="006B6218"/>
    <w:rsid w:val="006C32E8"/>
    <w:rsid w:val="006C66A6"/>
    <w:rsid w:val="006D30B7"/>
    <w:rsid w:val="006D4F10"/>
    <w:rsid w:val="006D5080"/>
    <w:rsid w:val="006D5699"/>
    <w:rsid w:val="006D709E"/>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1936"/>
    <w:rsid w:val="00792C27"/>
    <w:rsid w:val="00793193"/>
    <w:rsid w:val="00793EC8"/>
    <w:rsid w:val="007968FE"/>
    <w:rsid w:val="007972D5"/>
    <w:rsid w:val="00797B30"/>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4B00"/>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671B"/>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2C51"/>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2381"/>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44CD"/>
    <w:rsid w:val="00990684"/>
    <w:rsid w:val="0099081D"/>
    <w:rsid w:val="00992F4F"/>
    <w:rsid w:val="00993223"/>
    <w:rsid w:val="009940F3"/>
    <w:rsid w:val="00994774"/>
    <w:rsid w:val="009953A8"/>
    <w:rsid w:val="00996A8E"/>
    <w:rsid w:val="009A03C6"/>
    <w:rsid w:val="009A19C2"/>
    <w:rsid w:val="009A37D5"/>
    <w:rsid w:val="009A683D"/>
    <w:rsid w:val="009A72C0"/>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58C"/>
    <w:rsid w:val="009E2BDB"/>
    <w:rsid w:val="009E417E"/>
    <w:rsid w:val="009E52EF"/>
    <w:rsid w:val="009E5947"/>
    <w:rsid w:val="009E761C"/>
    <w:rsid w:val="009F26C0"/>
    <w:rsid w:val="009F308A"/>
    <w:rsid w:val="009F57D1"/>
    <w:rsid w:val="009F5E71"/>
    <w:rsid w:val="009F6E97"/>
    <w:rsid w:val="00A00122"/>
    <w:rsid w:val="00A012C7"/>
    <w:rsid w:val="00A03959"/>
    <w:rsid w:val="00A03AD7"/>
    <w:rsid w:val="00A07F91"/>
    <w:rsid w:val="00A107D7"/>
    <w:rsid w:val="00A10D57"/>
    <w:rsid w:val="00A13E2A"/>
    <w:rsid w:val="00A14049"/>
    <w:rsid w:val="00A16B81"/>
    <w:rsid w:val="00A16E58"/>
    <w:rsid w:val="00A2352C"/>
    <w:rsid w:val="00A2445D"/>
    <w:rsid w:val="00A27CF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2F8B"/>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452"/>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2B29"/>
    <w:rsid w:val="00B13121"/>
    <w:rsid w:val="00B13805"/>
    <w:rsid w:val="00B138F6"/>
    <w:rsid w:val="00B142F1"/>
    <w:rsid w:val="00B14B20"/>
    <w:rsid w:val="00B14FBE"/>
    <w:rsid w:val="00B165A7"/>
    <w:rsid w:val="00B1742F"/>
    <w:rsid w:val="00B21386"/>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4FF2"/>
    <w:rsid w:val="00BA5EAE"/>
    <w:rsid w:val="00BB0870"/>
    <w:rsid w:val="00BB1EA5"/>
    <w:rsid w:val="00BB4AFE"/>
    <w:rsid w:val="00BB7B5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1818"/>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2E9D"/>
    <w:rsid w:val="00C43336"/>
    <w:rsid w:val="00C44560"/>
    <w:rsid w:val="00C44F82"/>
    <w:rsid w:val="00C45CF0"/>
    <w:rsid w:val="00C47BD5"/>
    <w:rsid w:val="00C50538"/>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33"/>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4B7D"/>
    <w:rsid w:val="00DA537A"/>
    <w:rsid w:val="00DA5A0B"/>
    <w:rsid w:val="00DB049C"/>
    <w:rsid w:val="00DB16C0"/>
    <w:rsid w:val="00DB2F86"/>
    <w:rsid w:val="00DB500B"/>
    <w:rsid w:val="00DB59EA"/>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3B81"/>
    <w:rsid w:val="00E2494E"/>
    <w:rsid w:val="00E25D0B"/>
    <w:rsid w:val="00E26450"/>
    <w:rsid w:val="00E27AC3"/>
    <w:rsid w:val="00E27B9E"/>
    <w:rsid w:val="00E33504"/>
    <w:rsid w:val="00E33DED"/>
    <w:rsid w:val="00E34982"/>
    <w:rsid w:val="00E3623C"/>
    <w:rsid w:val="00E37BF1"/>
    <w:rsid w:val="00E41AFE"/>
    <w:rsid w:val="00E43E76"/>
    <w:rsid w:val="00E44349"/>
    <w:rsid w:val="00E44F9A"/>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4719"/>
    <w:rsid w:val="00E859FE"/>
    <w:rsid w:val="00E91B13"/>
    <w:rsid w:val="00E924AC"/>
    <w:rsid w:val="00E93CA1"/>
    <w:rsid w:val="00E9437E"/>
    <w:rsid w:val="00E95B04"/>
    <w:rsid w:val="00E9678C"/>
    <w:rsid w:val="00E97001"/>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8D2"/>
    <w:rsid w:val="00F22E6E"/>
    <w:rsid w:val="00F24F84"/>
    <w:rsid w:val="00F253F6"/>
    <w:rsid w:val="00F26E05"/>
    <w:rsid w:val="00F2730B"/>
    <w:rsid w:val="00F27576"/>
    <w:rsid w:val="00F32C3C"/>
    <w:rsid w:val="00F32F35"/>
    <w:rsid w:val="00F33A7A"/>
    <w:rsid w:val="00F33DF2"/>
    <w:rsid w:val="00F3506F"/>
    <w:rsid w:val="00F35AAC"/>
    <w:rsid w:val="00F35C0A"/>
    <w:rsid w:val="00F419FE"/>
    <w:rsid w:val="00F41B13"/>
    <w:rsid w:val="00F45CAB"/>
    <w:rsid w:val="00F46B85"/>
    <w:rsid w:val="00F47930"/>
    <w:rsid w:val="00F50E2C"/>
    <w:rsid w:val="00F5165D"/>
    <w:rsid w:val="00F526A1"/>
    <w:rsid w:val="00F52BB0"/>
    <w:rsid w:val="00F55D44"/>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930A92"/>
  <w14:defaultImageDpi w14:val="0"/>
  <w15:docId w15:val="{53D98D47-C1B6-A649-A88F-9EAF7BA6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797B30"/>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161F14"/>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797B30"/>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161F14"/>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F35AAC"/>
    <w:pPr>
      <w:spacing w:before="120" w:after="120" w:line="360" w:lineRule="auto"/>
    </w:pPr>
    <w:rPr>
      <w:b/>
      <w:iCs/>
      <w:color w:val="000000" w:themeColor="text1"/>
      <w:sz w:val="22"/>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unhideWhenUsed/>
    <w:rsid w:val="00797B30"/>
    <w:pPr>
      <w:spacing w:after="0" w:line="480" w:lineRule="auto"/>
      <w:ind w:left="170" w:hanging="170"/>
    </w:pPr>
    <w:rPr>
      <w:sz w:val="20"/>
      <w:szCs w:val="20"/>
    </w:rPr>
  </w:style>
  <w:style w:type="character" w:customStyle="1" w:styleId="FootnoteTextChar">
    <w:name w:val="Footnote Text Char"/>
    <w:basedOn w:val="DefaultParagraphFont"/>
    <w:link w:val="FootnoteText"/>
    <w:uiPriority w:val="99"/>
    <w:rsid w:val="00797B30"/>
    <w:rPr>
      <w:sz w:val="20"/>
      <w:szCs w:val="20"/>
    </w:rPr>
  </w:style>
  <w:style w:type="character" w:styleId="FootnoteReference">
    <w:name w:val="footnote reference"/>
    <w:basedOn w:val="DefaultParagraphFont"/>
    <w:semiHidden/>
    <w:unhideWhenUsed/>
    <w:rsid w:val="00330FE4"/>
    <w:rPr>
      <w:vertAlign w:val="superscript"/>
    </w:rPr>
  </w:style>
  <w:style w:type="character" w:styleId="UnresolvedMention">
    <w:name w:val="Unresolved Mention"/>
    <w:basedOn w:val="DefaultParagraphFont"/>
    <w:uiPriority w:val="99"/>
    <w:semiHidden/>
    <w:unhideWhenUsed/>
    <w:rsid w:val="009A7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dcceew.gov.au/climate-change/publications/national-inventory-report-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greenhouseaccounts.climatechange.gov.au/" TargetMode="External"/><Relationship Id="rId25" Type="http://schemas.openxmlformats.org/officeDocument/2006/relationships/footer" Target="footer3.xml"/><Relationship Id="rId33"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deeca.vic.gov.au/" TargetMode="External"/><Relationship Id="rId32"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customer.service@delwp.vic.gov.au" TargetMode="External"/><Relationship Id="rId28"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yperlink" Target="https://greenhouseaccounts.climatechange.gov.au/"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creativecommons.org/licenses/by/4.0/" TargetMode="External"/><Relationship Id="rId27" Type="http://schemas.openxmlformats.org/officeDocument/2006/relationships/theme" Target="theme/theme1.xml"/><Relationship Id="rId30" Type="http://schemas.openxmlformats.org/officeDocument/2006/relationships/customXml" Target="../customXml/item4.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AEFD5461E6B11747A2B6432FCBBB849A" ma:contentTypeVersion="303" ma:contentTypeDescription="All project related information. The library can be used to manage multiple projects." ma:contentTypeScope="" ma:versionID="cba9792806382f5b1c0903c62468c545">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789685ed-bc56-403c-9c5a-a1b14f234a58" xmlns:ns6="3615366d-a5fc-48c6-8d6a-8810589c7d40" targetNamespace="http://schemas.microsoft.com/office/2006/metadata/properties" ma:root="true" ma:fieldsID="28fb9b16211a61920c5ce272c7443737" ns1:_="" ns2:_="" ns3:_="" ns4:_="" ns5:_="" ns6:_="">
    <xsd:import namespace="http://schemas.microsoft.com/sharepoint/v3"/>
    <xsd:import namespace="9fd47c19-1c4a-4d7d-b342-c10cef269344"/>
    <xsd:import namespace="a5f32de4-e402-4188-b034-e71ca7d22e54"/>
    <xsd:import namespace="05aa45cf-ed89-4733-97a8-db4ce5c51511"/>
    <xsd:import namespace="789685ed-bc56-403c-9c5a-a1b14f234a58"/>
    <xsd:import namespace="3615366d-a5fc-48c6-8d6a-8810589c7d40"/>
    <xsd:element name="properties">
      <xsd:complexType>
        <xsd:sequence>
          <xsd:element name="documentManagement">
            <xsd:complexType>
              <xsd:all>
                <xsd:element ref="ns3:_dlc_DocId" minOccurs="0"/>
                <xsd:element ref="ns3:_dlc_DocIdUrl" minOccurs="0"/>
                <xsd:element ref="ns3:_dlc_DocIdPersistId" minOccurs="0"/>
                <xsd:element ref="ns2:TaxCatchAll" minOccurs="0"/>
                <xsd:element ref="ns2:TaxCatchAllLabel" minOccurs="0"/>
                <xsd:element ref="ns2:fb3179c379644f499d7166d0c985669b"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6:h677972bfa204522bcfb66e2af48d7e6" minOccurs="0"/>
                <xsd:element ref="ns6:g6ccdf8093b145f9b462c2328556b705" minOccurs="0"/>
                <xsd:element ref="ns6:f783d46bd9904d4fad452bb14a8d9c19" minOccurs="0"/>
                <xsd:element ref="ns5:MediaServiceGenerationTime" minOccurs="0"/>
                <xsd:element ref="ns5:MediaServiceEventHashCode" minOccurs="0"/>
                <xsd:element ref="ns1:_dlc_ExpireDateSaved" minOccurs="0"/>
                <xsd:element ref="ns1:_dlc_ExpireDate" minOccurs="0"/>
                <xsd:element ref="ns2:f2ccc2d036544b63b99cbcec8aa9ae6a" minOccurs="0"/>
                <xsd:element ref="ns1:_dlc_Exempt" minOccurs="0"/>
                <xsd:element ref="ns5:MediaServiceObjectDetectorVersions" minOccurs="0"/>
                <xsd:element ref="ns5:lcf76f155ced4ddcb4097134ff3c332f"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hidden="true" ma:internalName="_dlc_ExpireDate" ma:readOnly="true">
      <xsd:simpleType>
        <xsd:restriction base="dms:DateTime"/>
      </xsd:simple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f2ccc2d036544b63b99cbcec8aa9ae6a" ma:index="36" ma:taxonomy="true" ma:internalName="f2ccc2d036544b63b99cbcec8aa9ae6a" ma:taxonomyFieldName="Records_x0020_Class_x0020_Project" ma:displayName="Classification" ma:readOnly="false" ma:default="168;#Reference Materials|f95fc07f-4085-41de-ae1e-da9e571af2f5"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1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685ed-bc56-403c-9c5a-a1b14f234a5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366d-a5fc-48c6-8d6a-8810589c7d4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h677972bfa204522bcfb66e2af48d7e6" ma:index="27" nillable="true" ma:taxonomy="true" ma:internalName="h677972bfa204522bcfb66e2af48d7e6" ma:taxonomyFieldName="CCP_x0020_Document_x0020_Type" ma:displayName="Document Type" ma:default="" ma:fieldId="{1677972b-fa20-4522-bcfb-66e2af48d7e6}" ma:sspId="797aeec6-0273-40f2-ab3e-beee73212332" ma:termSetId="626c0b25-ef41-4441-9780-b1a9a8794df8" ma:anchorId="00000000-0000-0000-0000-000000000000" ma:open="true" ma:isKeyword="false">
      <xsd:complexType>
        <xsd:sequence>
          <xsd:element ref="pc:Terms" minOccurs="0" maxOccurs="1"/>
        </xsd:sequence>
      </xsd:complexType>
    </xsd:element>
    <xsd:element name="g6ccdf8093b145f9b462c2328556b705" ma:index="29" nillable="true" ma:taxonomy="true" ma:internalName="g6ccdf8093b145f9b462c2328556b705" ma:taxonomyFieldName="CCP_x0020_Category" ma:displayName="Document Purpose" ma:default="" ma:fieldId="{06ccdf80-93b1-45f9-b462-c2328556b705}" ma:sspId="797aeec6-0273-40f2-ab3e-beee73212332" ma:termSetId="472ea778-6c07-4d6b-8c59-483c588bb132" ma:anchorId="00000000-0000-0000-0000-000000000000" ma:open="true" ma:isKeyword="false">
      <xsd:complexType>
        <xsd:sequence>
          <xsd:element ref="pc:Terms" minOccurs="0" maxOccurs="1"/>
        </xsd:sequence>
      </xsd:complexType>
    </xsd:element>
    <xsd:element name="f783d46bd9904d4fad452bb14a8d9c19" ma:index="31" nillable="true" ma:taxonomy="true" ma:internalName="f783d46bd9904d4fad452bb14a8d9c19" ma:taxonomyFieldName="CCP_x0020_Project_x0020_Name" ma:displayName="Project" ma:default="" ma:fieldId="{f783d46b-d990-4d4f-ad45-2bb14a8d9c19}" ma:sspId="797aeec6-0273-40f2-ab3e-beee73212332" ma:termSetId="ef2feb9a-f911-4e70-80f7-01e8cdddbb1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454</Value>
      <Value>600</Value>
      <Value>3</Value>
      <Value>168</Value>
    </TaxCatchAll>
    <f783d46bd9904d4fad452bb14a8d9c19 xmlns="3615366d-a5fc-48c6-8d6a-8810589c7d40">
      <Terms xmlns="http://schemas.microsoft.com/office/infopath/2007/PartnerControls">
        <TermInfo xmlns="http://schemas.microsoft.com/office/infopath/2007/PartnerControls">
          <TermName xmlns="http://schemas.microsoft.com/office/infopath/2007/PartnerControls">GHG Emissions Report 2023</TermName>
          <TermId xmlns="http://schemas.microsoft.com/office/infopath/2007/PartnerControls">b53b19e9-cc6b-4fef-8688-ebdd782a2688</TermId>
        </TermInfo>
      </Terms>
    </f783d46bd9904d4fad452bb14a8d9c19>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 xsi:nil="true"/>
    <h677972bfa204522bcfb66e2af48d7e6 xmlns="3615366d-a5fc-48c6-8d6a-8810589c7d40">
      <Terms xmlns="http://schemas.microsoft.com/office/infopath/2007/PartnerControls"/>
    </h677972bfa204522bcfb66e2af48d7e6>
    <lcf76f155ced4ddcb4097134ff3c332f xmlns="789685ed-bc56-403c-9c5a-a1b14f234a58">
      <Terms xmlns="http://schemas.microsoft.com/office/infopath/2007/PartnerControls"/>
    </lcf76f155ced4ddcb4097134ff3c332f>
    <DLCPolicyLabelLock xmlns="05aa45cf-ed89-4733-97a8-db4ce5c51511" xsi:nil="true"/>
    <g6ccdf8093b145f9b462c2328556b705 xmlns="3615366d-a5fc-48c6-8d6a-8810589c7d40">
      <Terms xmlns="http://schemas.microsoft.com/office/infopath/2007/PartnerControls">
        <TermInfo xmlns="http://schemas.microsoft.com/office/infopath/2007/PartnerControls">
          <TermName xmlns="http://schemas.microsoft.com/office/infopath/2007/PartnerControls">Final report files</TermName>
          <TermId xmlns="http://schemas.microsoft.com/office/infopath/2007/PartnerControls">451d4634-edc0-4198-a2c5-b965b6507bc5</TermId>
        </TermInfo>
      </Terms>
    </g6ccdf8093b145f9b462c2328556b705>
    <_dlc_DocId xmlns="a5f32de4-e402-4188-b034-e71ca7d22e54">DOCID546-622101179-7089</_dlc_DocId>
    <_dlc_DocIdUrl xmlns="a5f32de4-e402-4188-b034-e71ca7d22e54">
      <Url>https://delwpvicgovau.sharepoint.com/sites/ecm_546/_layouts/15/DocIdRedir.aspx?ID=DOCID546-622101179-7089</Url>
      <Description>DOCID546-622101179-7089</Description>
    </_dlc_DocIdUrl>
    <DLCPolicyLabelValue xmlns="05aa45cf-ed89-4733-97a8-db4ce5c51511">Version 0.11</DLCPolicyLabelValue>
  </documentManagement>
</p:properties>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2.xml><?xml version="1.0" encoding="utf-8"?>
<ds:datastoreItem xmlns:ds="http://schemas.openxmlformats.org/officeDocument/2006/customXml" ds:itemID="{8719CFA7-9291-4A4D-B13B-3B854EA863C7}"/>
</file>

<file path=customXml/itemProps3.xml><?xml version="1.0" encoding="utf-8"?>
<ds:datastoreItem xmlns:ds="http://schemas.openxmlformats.org/officeDocument/2006/customXml" ds:itemID="{9CB95A67-0FE5-4882-B4DF-34BDAC3EA211}"/>
</file>

<file path=customXml/itemProps4.xml><?xml version="1.0" encoding="utf-8"?>
<ds:datastoreItem xmlns:ds="http://schemas.openxmlformats.org/officeDocument/2006/customXml" ds:itemID="{397C0CC8-7431-4959-ACC2-4B5D4FBF07D8}"/>
</file>

<file path=customXml/itemProps5.xml><?xml version="1.0" encoding="utf-8"?>
<ds:datastoreItem xmlns:ds="http://schemas.openxmlformats.org/officeDocument/2006/customXml" ds:itemID="{262B9DE5-76C5-4ED1-8B0A-214674FB48A1}"/>
</file>

<file path=customXml/itemProps6.xml><?xml version="1.0" encoding="utf-8"?>
<ds:datastoreItem xmlns:ds="http://schemas.openxmlformats.org/officeDocument/2006/customXml" ds:itemID="{75B475BC-2B20-4C72-AE91-B17CFE4EDD75}"/>
</file>

<file path=customXml/itemProps7.xml><?xml version="1.0" encoding="utf-8"?>
<ds:datastoreItem xmlns:ds="http://schemas.openxmlformats.org/officeDocument/2006/customXml" ds:itemID="{EB9F23DF-D2D4-42B9-9888-FF34D6F178D3}"/>
</file>

<file path=docProps/app.xml><?xml version="1.0" encoding="utf-8"?>
<Properties xmlns="http://schemas.openxmlformats.org/officeDocument/2006/extended-properties" xmlns:vt="http://schemas.openxmlformats.org/officeDocument/2006/docPropsVTypes">
  <Template>Document_accessible.dotx</Template>
  <TotalTime>1</TotalTime>
  <Pages>24</Pages>
  <Words>3914</Words>
  <Characters>22314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Victorian Greenhouse Gas Emissions Report 2023</vt:lpstr>
    </vt:vector>
  </TitlesOfParts>
  <Manager>N/A</Manager>
  <Company>Department of Energy, Environment and Climate Action </Company>
  <LinksUpToDate>false</LinksUpToDate>
  <CharactersWithSpaces>26176</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Greenhouse Gas Emissions Report 2023</dc:title>
  <dc:subject>Victorian Greenhouse Gas Emissions Report 2023</dc:subject>
  <dc:creator>Department of Energy, Environment and Climate Action </dc:creator>
  <cp:keywords/>
  <dc:description>© The State of Victoria Department of Energy, Environment and Climate Action </dc:description>
  <cp:lastModifiedBy>Kathryn A Parker (DEECA)</cp:lastModifiedBy>
  <cp:revision>3</cp:revision>
  <dcterms:created xsi:type="dcterms:W3CDTF">2025-09-10T02:39:00Z</dcterms:created>
  <dcterms:modified xsi:type="dcterms:W3CDTF">2025-09-10T02:40:00Z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0x0101009298E819CE1EBB4F8D2096B3E0F0C2911D00AEFD5461E6B11747A2B6432FCBBB849A</vt:lpwstr>
  </property>
  <property fmtid="{D5CDD505-2E9C-101B-9397-08002B2CF9AE}" pid="10" name="_dlc_policyId">
    <vt:lpwstr/>
  </property>
  <property fmtid="{D5CDD505-2E9C-101B-9397-08002B2CF9AE}" pid="11" name="Records Class Project">
    <vt:lpwstr>168;#Reference Materials|f95fc07f-4085-41de-ae1e-da9e571af2f5</vt:lpwstr>
  </property>
  <property fmtid="{D5CDD505-2E9C-101B-9397-08002B2CF9AE}" pid="12" name="ItemRetentionFormula">
    <vt:lpwstr/>
  </property>
  <property fmtid="{D5CDD505-2E9C-101B-9397-08002B2CF9AE}" pid="13" name="Dissemination Limiting Marker">
    <vt:lpwstr>3;#FOUO|955eb6fc-b35a-4808-8aa5-31e514fa3f26</vt:lpwstr>
  </property>
  <property fmtid="{D5CDD505-2E9C-101B-9397-08002B2CF9AE}" pid="14" name="Security Classification">
    <vt:i4>1</vt:i4>
  </property>
  <property fmtid="{D5CDD505-2E9C-101B-9397-08002B2CF9AE}" pid="15" name="_dlc_DocIdItemGuid">
    <vt:lpwstr>7311e23a-1c2d-4a00-a459-f26454299a41</vt:lpwstr>
  </property>
  <property fmtid="{D5CDD505-2E9C-101B-9397-08002B2CF9AE}" pid="16" name="g91c59fb10974fa1a03160ad8386f0f4">
    <vt:lpwstr/>
  </property>
  <property fmtid="{D5CDD505-2E9C-101B-9397-08002B2CF9AE}" pid="17" name="MediaServiceImageTags">
    <vt:lpwstr/>
  </property>
  <property fmtid="{D5CDD505-2E9C-101B-9397-08002B2CF9AE}" pid="18" name="CCP Document Type">
    <vt:lpwstr/>
  </property>
  <property fmtid="{D5CDD505-2E9C-101B-9397-08002B2CF9AE}" pid="19" name="CCP Category">
    <vt:lpwstr>454;#Final report files|451d4634-edc0-4198-a2c5-b965b6507bc5</vt:lpwstr>
  </property>
  <property fmtid="{D5CDD505-2E9C-101B-9397-08002B2CF9AE}" pid="20" name="CCP_x0020_Project_x0020_Name">
    <vt:lpwstr>600;#GHG Emissions Report 2023|b53b19e9-cc6b-4fef-8688-ebdd782a2688</vt:lpwstr>
  </property>
  <property fmtid="{D5CDD505-2E9C-101B-9397-08002B2CF9AE}" pid="21" name="CCP_x0020_Document_x0020_Type">
    <vt:lpwstr/>
  </property>
  <property fmtid="{D5CDD505-2E9C-101B-9397-08002B2CF9AE}" pid="22" name="Records_x0020_Class_x0020_Project">
    <vt:lpwstr>168;#Reference Materials|f95fc07f-4085-41de-ae1e-da9e571af2f5</vt:lpwstr>
  </property>
  <property fmtid="{D5CDD505-2E9C-101B-9397-08002B2CF9AE}" pid="23" name="CCP Project Name">
    <vt:lpwstr>600;#GHG Emissions Report 2023|b53b19e9-cc6b-4fef-8688-ebdd782a2688</vt:lpwstr>
  </property>
  <property fmtid="{D5CDD505-2E9C-101B-9397-08002B2CF9AE}" pid="24" name="CCP_x0020_Category">
    <vt:lpwstr>454;#Final report files|451d4634-edc0-4198-a2c5-b965b6507bc5</vt:lpwstr>
  </property>
  <property fmtid="{D5CDD505-2E9C-101B-9397-08002B2CF9AE}" pid="25" name="Security_x0020_Classification">
    <vt:lpwstr>1</vt:lpwstr>
  </property>
  <property fmtid="{D5CDD505-2E9C-101B-9397-08002B2CF9AE}" pid="26" name="Record_x0020_Purpose">
    <vt:lpwstr/>
  </property>
  <property fmtid="{D5CDD505-2E9C-101B-9397-08002B2CF9AE}" pid="27" name="Dissemination_x0020_Limiting_x0020_Marker">
    <vt:lpwstr>3;#FOUO|955eb6fc-b35a-4808-8aa5-31e514fa3f26</vt:lpwstr>
  </property>
  <property fmtid="{D5CDD505-2E9C-101B-9397-08002B2CF9AE}" pid="28" name="Record Purpose">
    <vt:lpwstr/>
  </property>
</Properties>
</file>